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297" w:rsidRPr="002641FC" w:rsidRDefault="00711297" w:rsidP="002641FC">
      <w:pPr>
        <w:tabs>
          <w:tab w:val="left" w:pos="3119"/>
        </w:tabs>
        <w:ind w:left="3119" w:right="991" w:hanging="851"/>
        <w:jc w:val="both"/>
        <w:rPr>
          <w:rFonts w:ascii="Tahoma" w:hAnsi="Tahoma" w:cs="Tahoma"/>
          <w:i/>
          <w:sz w:val="16"/>
          <w:szCs w:val="16"/>
        </w:rPr>
      </w:pPr>
      <w:r w:rsidRPr="002641FC">
        <w:rPr>
          <w:rFonts w:ascii="Tahoma" w:hAnsi="Tahoma" w:cs="Tahoma"/>
          <w:b/>
          <w:i/>
          <w:sz w:val="16"/>
          <w:szCs w:val="16"/>
        </w:rPr>
        <w:t xml:space="preserve">Sumilla: </w:t>
      </w:r>
      <w:r w:rsidR="00C92BDE" w:rsidRPr="002641FC">
        <w:rPr>
          <w:rFonts w:ascii="Tahoma" w:hAnsi="Tahoma" w:cs="Tahoma"/>
          <w:b/>
          <w:i/>
          <w:sz w:val="16"/>
          <w:szCs w:val="16"/>
        </w:rPr>
        <w:t xml:space="preserve"> </w:t>
      </w:r>
      <w:r w:rsidR="002641FC">
        <w:rPr>
          <w:rFonts w:ascii="Tahoma" w:hAnsi="Tahoma" w:cs="Tahoma"/>
          <w:b/>
          <w:i/>
          <w:sz w:val="16"/>
          <w:szCs w:val="16"/>
        </w:rPr>
        <w:t xml:space="preserve"> </w:t>
      </w:r>
      <w:r w:rsidR="00C156F5" w:rsidRPr="002641FC">
        <w:rPr>
          <w:rFonts w:ascii="Tahoma" w:hAnsi="Tahoma" w:cs="Tahoma"/>
          <w:i/>
          <w:sz w:val="16"/>
          <w:szCs w:val="16"/>
        </w:rPr>
        <w:t>“</w:t>
      </w:r>
      <w:r w:rsidR="002641FC" w:rsidRPr="002641FC">
        <w:rPr>
          <w:rFonts w:ascii="Tahoma" w:hAnsi="Tahoma" w:cs="Tahoma"/>
          <w:i/>
          <w:sz w:val="16"/>
          <w:szCs w:val="16"/>
        </w:rPr>
        <w:t>De lo expuesto, resulta con</w:t>
      </w:r>
      <w:r w:rsidR="002641FC">
        <w:rPr>
          <w:rFonts w:ascii="Tahoma" w:hAnsi="Tahoma" w:cs="Tahoma"/>
          <w:i/>
          <w:sz w:val="16"/>
          <w:szCs w:val="16"/>
        </w:rPr>
        <w:t xml:space="preserve">veniente emitir pronunciamiento </w:t>
      </w:r>
      <w:r w:rsidR="002641FC" w:rsidRPr="002641FC">
        <w:rPr>
          <w:rFonts w:ascii="Tahoma" w:hAnsi="Tahoma" w:cs="Tahoma"/>
          <w:i/>
          <w:sz w:val="16"/>
          <w:szCs w:val="16"/>
        </w:rPr>
        <w:t>respecto de cada uno de los cuestionamientos planteados en el recurso que nos ocupa  y verificar si se ha aportado nuevos elementos de juicio que permitan al Tribunal modificar la decisión que adoptó en la resolución recurrida</w:t>
      </w:r>
      <w:r w:rsidR="002641FC">
        <w:rPr>
          <w:rFonts w:ascii="Tahoma" w:hAnsi="Tahoma" w:cs="Tahoma"/>
          <w:i/>
          <w:sz w:val="16"/>
          <w:szCs w:val="16"/>
        </w:rPr>
        <w:t>”</w:t>
      </w:r>
      <w:r w:rsidR="002641FC" w:rsidRPr="002641FC">
        <w:rPr>
          <w:rFonts w:ascii="Tahoma" w:hAnsi="Tahoma" w:cs="Tahoma"/>
          <w:i/>
          <w:sz w:val="16"/>
          <w:szCs w:val="16"/>
        </w:rPr>
        <w:t>.</w:t>
      </w:r>
    </w:p>
    <w:p w:rsidR="00711297" w:rsidRPr="00CC1EA4" w:rsidRDefault="00711297" w:rsidP="00986843">
      <w:pPr>
        <w:ind w:left="3402" w:right="991" w:hanging="992"/>
        <w:jc w:val="both"/>
        <w:rPr>
          <w:rFonts w:ascii="Tahoma" w:hAnsi="Tahoma" w:cs="Tahoma"/>
          <w:i/>
          <w:sz w:val="20"/>
          <w:szCs w:val="20"/>
        </w:rPr>
      </w:pPr>
    </w:p>
    <w:p w:rsidR="00711297" w:rsidRPr="00CC1EA4" w:rsidRDefault="00711297" w:rsidP="00986843">
      <w:pPr>
        <w:pStyle w:val="Textoindependiente3"/>
        <w:ind w:left="4956" w:firstLine="708"/>
        <w:jc w:val="both"/>
        <w:rPr>
          <w:rFonts w:ascii="Tahoma" w:hAnsi="Tahoma" w:cs="Tahoma"/>
          <w:b/>
          <w:sz w:val="20"/>
          <w:szCs w:val="20"/>
        </w:rPr>
      </w:pPr>
      <w:r w:rsidRPr="00CC1EA4">
        <w:rPr>
          <w:rFonts w:ascii="Tahoma" w:hAnsi="Tahoma" w:cs="Tahoma"/>
          <w:b/>
          <w:sz w:val="20"/>
          <w:szCs w:val="20"/>
        </w:rPr>
        <w:t xml:space="preserve">Lima, </w:t>
      </w:r>
      <w:r w:rsidR="00065FEC">
        <w:rPr>
          <w:rFonts w:ascii="Tahoma" w:hAnsi="Tahoma" w:cs="Tahoma"/>
          <w:b/>
          <w:sz w:val="20"/>
          <w:szCs w:val="20"/>
        </w:rPr>
        <w:t>25 de Julio de 2011</w:t>
      </w:r>
    </w:p>
    <w:p w:rsidR="00711297" w:rsidRPr="00CC1EA4" w:rsidRDefault="00711297" w:rsidP="00986843">
      <w:pPr>
        <w:jc w:val="both"/>
        <w:rPr>
          <w:rFonts w:ascii="Tahoma" w:hAnsi="Tahoma" w:cs="Tahoma"/>
          <w:sz w:val="20"/>
          <w:szCs w:val="20"/>
        </w:rPr>
      </w:pPr>
      <w:r w:rsidRPr="00CC1EA4">
        <w:rPr>
          <w:rFonts w:ascii="Tahoma" w:hAnsi="Tahoma" w:cs="Tahoma"/>
          <w:b/>
          <w:i/>
          <w:sz w:val="20"/>
          <w:szCs w:val="20"/>
        </w:rPr>
        <w:t xml:space="preserve">          </w:t>
      </w:r>
      <w:r w:rsidRPr="00CC1EA4">
        <w:rPr>
          <w:rFonts w:ascii="Tahoma" w:hAnsi="Tahoma" w:cs="Tahoma"/>
          <w:b/>
          <w:sz w:val="20"/>
          <w:szCs w:val="20"/>
        </w:rPr>
        <w:t xml:space="preserve">VISTO </w:t>
      </w:r>
      <w:r w:rsidRPr="00CC1EA4">
        <w:rPr>
          <w:rFonts w:ascii="Tahoma" w:hAnsi="Tahoma" w:cs="Tahoma"/>
          <w:sz w:val="20"/>
          <w:szCs w:val="20"/>
        </w:rPr>
        <w:t xml:space="preserve">en sesión de fecha </w:t>
      </w:r>
      <w:r w:rsidR="00CC1EA4">
        <w:rPr>
          <w:rFonts w:ascii="Tahoma" w:hAnsi="Tahoma" w:cs="Tahoma"/>
          <w:sz w:val="20"/>
          <w:szCs w:val="20"/>
        </w:rPr>
        <w:t>25 de julio</w:t>
      </w:r>
      <w:r w:rsidR="00CC02FE" w:rsidRPr="00CC1EA4">
        <w:rPr>
          <w:rFonts w:ascii="Tahoma" w:hAnsi="Tahoma" w:cs="Tahoma"/>
          <w:sz w:val="20"/>
          <w:szCs w:val="20"/>
        </w:rPr>
        <w:t xml:space="preserve"> de 2011</w:t>
      </w:r>
      <w:r w:rsidRPr="00CC1EA4">
        <w:rPr>
          <w:rFonts w:ascii="Tahoma" w:hAnsi="Tahoma" w:cs="Tahoma"/>
          <w:sz w:val="20"/>
          <w:szCs w:val="20"/>
        </w:rPr>
        <w:t xml:space="preserve">, de la </w:t>
      </w:r>
      <w:r w:rsidR="00CC02FE" w:rsidRPr="00CC1EA4">
        <w:rPr>
          <w:rFonts w:ascii="Tahoma" w:hAnsi="Tahoma" w:cs="Tahoma"/>
          <w:sz w:val="20"/>
          <w:szCs w:val="20"/>
        </w:rPr>
        <w:t>Primera</w:t>
      </w:r>
      <w:r w:rsidRPr="00CC1EA4">
        <w:rPr>
          <w:rFonts w:ascii="Tahoma" w:hAnsi="Tahoma" w:cs="Tahoma"/>
          <w:sz w:val="20"/>
          <w:szCs w:val="20"/>
        </w:rPr>
        <w:t xml:space="preserve"> Sala del Tribunal de Contrataciones del Estado, el Expediente № </w:t>
      </w:r>
      <w:r w:rsidR="00CC1EA4">
        <w:rPr>
          <w:rFonts w:ascii="Tahoma" w:hAnsi="Tahoma" w:cs="Tahoma"/>
          <w:sz w:val="20"/>
          <w:szCs w:val="20"/>
        </w:rPr>
        <w:t>1542</w:t>
      </w:r>
      <w:r w:rsidR="00B327B4" w:rsidRPr="00CC1EA4">
        <w:rPr>
          <w:rFonts w:ascii="Tahoma" w:hAnsi="Tahoma" w:cs="Tahoma"/>
          <w:sz w:val="20"/>
          <w:szCs w:val="20"/>
        </w:rPr>
        <w:t>/2010</w:t>
      </w:r>
      <w:r w:rsidRPr="00CC1EA4">
        <w:rPr>
          <w:rFonts w:ascii="Tahoma" w:hAnsi="Tahoma" w:cs="Tahoma"/>
          <w:sz w:val="20"/>
          <w:szCs w:val="20"/>
        </w:rPr>
        <w:t xml:space="preserve">.TC sobre el recurso de reconsideración interpuesto por </w:t>
      </w:r>
      <w:r w:rsidR="00CC1EA4">
        <w:rPr>
          <w:rFonts w:ascii="Tahoma" w:hAnsi="Tahoma" w:cs="Tahoma"/>
          <w:sz w:val="20"/>
          <w:szCs w:val="20"/>
        </w:rPr>
        <w:t>e</w:t>
      </w:r>
      <w:r w:rsidR="00CC1EA4" w:rsidRPr="00CC1EA4">
        <w:rPr>
          <w:rFonts w:ascii="Tahoma" w:hAnsi="Tahoma" w:cs="Tahoma"/>
          <w:sz w:val="20"/>
          <w:szCs w:val="20"/>
        </w:rPr>
        <w:t>l señor CARLOS ENRIQUE FABIAN CHALE</w:t>
      </w:r>
      <w:r w:rsidR="00C46DE3" w:rsidRPr="00CC1EA4">
        <w:rPr>
          <w:rFonts w:ascii="Tahoma" w:hAnsi="Tahoma" w:cs="Tahoma"/>
          <w:sz w:val="20"/>
          <w:szCs w:val="20"/>
        </w:rPr>
        <w:t xml:space="preserve"> </w:t>
      </w:r>
      <w:r w:rsidRPr="00CC1EA4">
        <w:rPr>
          <w:rFonts w:ascii="Tahoma" w:hAnsi="Tahoma" w:cs="Tahoma"/>
          <w:sz w:val="20"/>
          <w:szCs w:val="20"/>
        </w:rPr>
        <w:t xml:space="preserve">contra la Resolución </w:t>
      </w:r>
      <w:r w:rsidR="00831F2B" w:rsidRPr="00CC1EA4">
        <w:rPr>
          <w:rFonts w:ascii="Tahoma" w:hAnsi="Tahoma" w:cs="Tahoma"/>
          <w:sz w:val="20"/>
          <w:szCs w:val="20"/>
        </w:rPr>
        <w:t xml:space="preserve">№ </w:t>
      </w:r>
      <w:r w:rsidR="00CC1EA4">
        <w:rPr>
          <w:rFonts w:ascii="Tahoma" w:hAnsi="Tahoma" w:cs="Tahoma"/>
          <w:sz w:val="20"/>
          <w:szCs w:val="20"/>
        </w:rPr>
        <w:t>1063</w:t>
      </w:r>
      <w:r w:rsidR="00831F2B" w:rsidRPr="00CC1EA4">
        <w:rPr>
          <w:rFonts w:ascii="Tahoma" w:hAnsi="Tahoma" w:cs="Tahoma"/>
          <w:sz w:val="20"/>
          <w:szCs w:val="20"/>
        </w:rPr>
        <w:t xml:space="preserve">-2011-TC-S1 del </w:t>
      </w:r>
      <w:r w:rsidR="00CC1EA4">
        <w:rPr>
          <w:rFonts w:ascii="Tahoma" w:hAnsi="Tahoma" w:cs="Tahoma"/>
          <w:sz w:val="20"/>
          <w:szCs w:val="20"/>
        </w:rPr>
        <w:t>21 de junio</w:t>
      </w:r>
      <w:r w:rsidR="00831F2B" w:rsidRPr="00CC1EA4">
        <w:rPr>
          <w:rFonts w:ascii="Tahoma" w:hAnsi="Tahoma" w:cs="Tahoma"/>
          <w:sz w:val="20"/>
          <w:szCs w:val="20"/>
        </w:rPr>
        <w:t xml:space="preserve"> de 2011</w:t>
      </w:r>
      <w:r w:rsidRPr="00CC1EA4">
        <w:rPr>
          <w:rFonts w:ascii="Tahoma" w:hAnsi="Tahoma" w:cs="Tahoma"/>
          <w:sz w:val="20"/>
          <w:szCs w:val="20"/>
        </w:rPr>
        <w:t xml:space="preserve">, que dispuso imponer sanción administrativa de inhabilitación temporal en sus derechos para participar en procesos de selección y contratar con el Estado, por el periodo de </w:t>
      </w:r>
      <w:r w:rsidR="00D57DAE">
        <w:rPr>
          <w:rFonts w:ascii="Tahoma" w:hAnsi="Tahoma" w:cs="Tahoma"/>
          <w:sz w:val="20"/>
          <w:szCs w:val="20"/>
        </w:rPr>
        <w:t>doce</w:t>
      </w:r>
      <w:r w:rsidR="00C46DE3" w:rsidRPr="00CC1EA4">
        <w:rPr>
          <w:rFonts w:ascii="Tahoma" w:hAnsi="Tahoma" w:cs="Tahoma"/>
          <w:sz w:val="20"/>
          <w:szCs w:val="20"/>
        </w:rPr>
        <w:t xml:space="preserve"> </w:t>
      </w:r>
      <w:r w:rsidRPr="00CC1EA4">
        <w:rPr>
          <w:rFonts w:ascii="Tahoma" w:hAnsi="Tahoma" w:cs="Tahoma"/>
          <w:sz w:val="20"/>
          <w:szCs w:val="20"/>
        </w:rPr>
        <w:t>(</w:t>
      </w:r>
      <w:r w:rsidR="009C3AD8" w:rsidRPr="00CC1EA4">
        <w:rPr>
          <w:rFonts w:ascii="Tahoma" w:hAnsi="Tahoma" w:cs="Tahoma"/>
          <w:sz w:val="20"/>
          <w:szCs w:val="20"/>
        </w:rPr>
        <w:t>1</w:t>
      </w:r>
      <w:r w:rsidR="00D57DAE">
        <w:rPr>
          <w:rFonts w:ascii="Tahoma" w:hAnsi="Tahoma" w:cs="Tahoma"/>
          <w:sz w:val="20"/>
          <w:szCs w:val="20"/>
        </w:rPr>
        <w:t>2</w:t>
      </w:r>
      <w:r w:rsidRPr="00CC1EA4">
        <w:rPr>
          <w:rFonts w:ascii="Tahoma" w:hAnsi="Tahoma" w:cs="Tahoma"/>
          <w:sz w:val="20"/>
          <w:szCs w:val="20"/>
        </w:rPr>
        <w:t xml:space="preserve">) meses; y, atendiendo a los siguientes: </w:t>
      </w:r>
    </w:p>
    <w:p w:rsidR="00711297" w:rsidRPr="00CC1EA4" w:rsidRDefault="00711297" w:rsidP="00986843">
      <w:pPr>
        <w:jc w:val="both"/>
        <w:rPr>
          <w:rFonts w:ascii="Tahoma" w:hAnsi="Tahoma" w:cs="Tahoma"/>
          <w:color w:val="000000"/>
          <w:sz w:val="20"/>
          <w:szCs w:val="20"/>
        </w:rPr>
      </w:pPr>
    </w:p>
    <w:p w:rsidR="00711297" w:rsidRPr="00CC1EA4" w:rsidRDefault="00711297" w:rsidP="00986843">
      <w:pPr>
        <w:jc w:val="both"/>
        <w:rPr>
          <w:rFonts w:ascii="Tahoma" w:hAnsi="Tahoma" w:cs="Tahoma"/>
          <w:b/>
          <w:sz w:val="20"/>
          <w:szCs w:val="20"/>
        </w:rPr>
      </w:pPr>
      <w:r w:rsidRPr="00CC1EA4">
        <w:rPr>
          <w:rFonts w:ascii="Tahoma" w:hAnsi="Tahoma" w:cs="Tahoma"/>
          <w:b/>
          <w:sz w:val="20"/>
          <w:szCs w:val="20"/>
        </w:rPr>
        <w:t>ANTECEDENTES:</w:t>
      </w:r>
    </w:p>
    <w:p w:rsidR="00711297" w:rsidRPr="00CC1EA4" w:rsidRDefault="00711297" w:rsidP="00986843">
      <w:pPr>
        <w:jc w:val="both"/>
        <w:rPr>
          <w:rFonts w:ascii="Tahoma" w:hAnsi="Tahoma" w:cs="Tahoma"/>
          <w:b/>
          <w:sz w:val="20"/>
          <w:szCs w:val="20"/>
        </w:rPr>
      </w:pPr>
    </w:p>
    <w:p w:rsidR="00CC1EA4" w:rsidRPr="00CC1EA4" w:rsidRDefault="00CC1EA4" w:rsidP="00CC1EA4">
      <w:pPr>
        <w:numPr>
          <w:ilvl w:val="0"/>
          <w:numId w:val="23"/>
        </w:numPr>
        <w:ind w:left="567" w:hanging="567"/>
        <w:jc w:val="both"/>
        <w:rPr>
          <w:rFonts w:ascii="Tahoma" w:hAnsi="Tahoma" w:cs="Tahoma"/>
          <w:sz w:val="20"/>
          <w:szCs w:val="20"/>
        </w:rPr>
      </w:pPr>
      <w:r w:rsidRPr="00CC1EA4">
        <w:rPr>
          <w:rFonts w:ascii="Tahoma" w:hAnsi="Tahoma" w:cs="Tahoma"/>
          <w:sz w:val="20"/>
          <w:szCs w:val="20"/>
        </w:rPr>
        <w:t>El 09 de diciembre de 2009, la Corte Superior de Justicia de Junín, en adelante la Entidad, convocó la Adjudicación de Menor Cuantía № 017-2009-CEP-CSJJU/PJ, primera convocatoria, para el “Servicio de Saneamiento Físico Legal de los Terrenos de la Entidad”, por un valor referencial de S/. 14 000.00 (catorce mil con 00/100 nuevos soles), incluido los impuesto de ley.</w:t>
      </w:r>
    </w:p>
    <w:p w:rsidR="00CC1EA4" w:rsidRPr="00CC1EA4" w:rsidRDefault="00CC1EA4" w:rsidP="00CC1EA4">
      <w:pPr>
        <w:ind w:left="567"/>
        <w:rPr>
          <w:rFonts w:ascii="Tahoma" w:hAnsi="Tahoma" w:cs="Tahoma"/>
          <w:sz w:val="20"/>
          <w:szCs w:val="20"/>
        </w:rPr>
      </w:pPr>
    </w:p>
    <w:p w:rsidR="00CC1EA4" w:rsidRPr="00CC1EA4" w:rsidRDefault="00CC1EA4" w:rsidP="00CC1EA4">
      <w:pPr>
        <w:numPr>
          <w:ilvl w:val="0"/>
          <w:numId w:val="23"/>
        </w:numPr>
        <w:ind w:left="567" w:hanging="567"/>
        <w:jc w:val="both"/>
        <w:rPr>
          <w:rFonts w:ascii="Tahoma" w:hAnsi="Tahoma" w:cs="Tahoma"/>
          <w:sz w:val="20"/>
          <w:szCs w:val="20"/>
        </w:rPr>
      </w:pPr>
      <w:r w:rsidRPr="00CC1EA4">
        <w:rPr>
          <w:rFonts w:ascii="Tahoma" w:hAnsi="Tahoma" w:cs="Tahoma"/>
          <w:sz w:val="20"/>
          <w:szCs w:val="20"/>
        </w:rPr>
        <w:t>Como resultado del proceso de selección, el 11 de diciembre de 2009, se otorgó la Buena Pro al señor CARLOS ENRIQUE FABIAN CHALE, por su oferta económica ascendente a S/. 14 000.00 nuevos soles.</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3"/>
        </w:numPr>
        <w:ind w:left="567" w:hanging="567"/>
        <w:jc w:val="both"/>
        <w:rPr>
          <w:rFonts w:ascii="Tahoma" w:hAnsi="Tahoma" w:cs="Tahoma"/>
          <w:sz w:val="20"/>
          <w:szCs w:val="20"/>
        </w:rPr>
      </w:pPr>
      <w:r w:rsidRPr="00CC1EA4">
        <w:rPr>
          <w:rFonts w:ascii="Tahoma" w:hAnsi="Tahoma" w:cs="Tahoma"/>
          <w:sz w:val="20"/>
          <w:szCs w:val="20"/>
        </w:rPr>
        <w:t>El 29 de diciembre de 2009, la Entidad y el señor CARLOS ENRIQUE FABIAN CHALE, en adelante el Contratista, suscribieron el Contrato № 035-2009-P-CSJJU/PJ, para la servicio de saneamiento físico legal de los terrenos de la Entidad, por el monto de S/. 14 000.00, y cuyo plazo de ejecución contractual sería de sesenta (60) días calendarios, contados a partir de la firma del mencionado contrato.</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3"/>
        </w:numPr>
        <w:ind w:left="567" w:hanging="567"/>
        <w:jc w:val="both"/>
        <w:rPr>
          <w:rFonts w:ascii="Tahoma" w:hAnsi="Tahoma" w:cs="Tahoma"/>
          <w:sz w:val="20"/>
          <w:szCs w:val="20"/>
        </w:rPr>
      </w:pPr>
      <w:r w:rsidRPr="00CC1EA4">
        <w:rPr>
          <w:rFonts w:ascii="Tahoma" w:hAnsi="Tahoma" w:cs="Tahoma"/>
          <w:sz w:val="20"/>
          <w:szCs w:val="20"/>
        </w:rPr>
        <w:t xml:space="preserve">Con Carta № 002-2010-CEFCH-CO de fecha 25 de febrero de 2010, recepcionado el 01 de marzo del mismo año, el Contratista remitió a la Entidad, lo siguiente: </w:t>
      </w:r>
      <w:r w:rsidRPr="00CC1EA4">
        <w:rPr>
          <w:rFonts w:ascii="Tahoma" w:hAnsi="Tahoma" w:cs="Tahoma"/>
          <w:b/>
          <w:sz w:val="20"/>
          <w:szCs w:val="20"/>
        </w:rPr>
        <w:t>(i)</w:t>
      </w:r>
      <w:r w:rsidRPr="00CC1EA4">
        <w:rPr>
          <w:rFonts w:ascii="Tahoma" w:hAnsi="Tahoma" w:cs="Tahoma"/>
          <w:sz w:val="20"/>
          <w:szCs w:val="20"/>
        </w:rPr>
        <w:t xml:space="preserve"> Memoria Descriptiva, </w:t>
      </w:r>
      <w:r w:rsidRPr="00CC1EA4">
        <w:rPr>
          <w:rFonts w:ascii="Tahoma" w:hAnsi="Tahoma" w:cs="Tahoma"/>
          <w:b/>
          <w:sz w:val="20"/>
          <w:szCs w:val="20"/>
        </w:rPr>
        <w:t xml:space="preserve">(ii) </w:t>
      </w:r>
      <w:r w:rsidRPr="00CC1EA4">
        <w:rPr>
          <w:rFonts w:ascii="Tahoma" w:hAnsi="Tahoma" w:cs="Tahoma"/>
          <w:sz w:val="20"/>
          <w:szCs w:val="20"/>
        </w:rPr>
        <w:t xml:space="preserve">Planos de Levantamiento Topográfico </w:t>
      </w:r>
      <w:r w:rsidRPr="00CC1EA4">
        <w:rPr>
          <w:rFonts w:ascii="Tahoma" w:hAnsi="Tahoma" w:cs="Tahoma"/>
          <w:b/>
          <w:sz w:val="20"/>
          <w:szCs w:val="20"/>
        </w:rPr>
        <w:t>(iii)</w:t>
      </w:r>
      <w:r w:rsidRPr="00CC1EA4">
        <w:rPr>
          <w:rFonts w:ascii="Tahoma" w:hAnsi="Tahoma" w:cs="Tahoma"/>
          <w:sz w:val="20"/>
          <w:szCs w:val="20"/>
        </w:rPr>
        <w:t xml:space="preserve"> Planos de Ubicación; y </w:t>
      </w:r>
      <w:r w:rsidRPr="00CC1EA4">
        <w:rPr>
          <w:rFonts w:ascii="Tahoma" w:hAnsi="Tahoma" w:cs="Tahoma"/>
          <w:b/>
          <w:sz w:val="20"/>
          <w:szCs w:val="20"/>
        </w:rPr>
        <w:t>(iV)</w:t>
      </w:r>
      <w:r w:rsidRPr="00CC1EA4">
        <w:rPr>
          <w:rFonts w:ascii="Tahoma" w:hAnsi="Tahoma" w:cs="Tahoma"/>
          <w:sz w:val="20"/>
          <w:szCs w:val="20"/>
        </w:rPr>
        <w:t xml:space="preserve"> Planos de Localización de los terrenos de la Entidad. Asimismo, a través de la mencionada misiva, el Contratista solicitó a la Entidad se sirva efectuar el Acta de Conformidad del servicio.</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3"/>
        </w:numPr>
        <w:ind w:left="567" w:hanging="567"/>
        <w:jc w:val="both"/>
        <w:rPr>
          <w:rFonts w:ascii="Tahoma" w:hAnsi="Tahoma" w:cs="Tahoma"/>
          <w:sz w:val="20"/>
          <w:szCs w:val="20"/>
        </w:rPr>
      </w:pPr>
      <w:r w:rsidRPr="00CC1EA4">
        <w:rPr>
          <w:rFonts w:ascii="Tahoma" w:hAnsi="Tahoma" w:cs="Tahoma"/>
          <w:sz w:val="20"/>
          <w:szCs w:val="20"/>
        </w:rPr>
        <w:t>Mediante Carta Notarial № 001-2010-P-CSJJU/PJ de fecha 11 de marzo de 2010, diligenciada el 24 del mismo mes y año, la Entidad comunicó al Contratista que, habiéndose vencido el plazo del servicio contratado, se le otorgaba el plazo de cinco (5) días calendario para que cumpla con lo estipulado en la Cláusula Octava del Contrato № 035-2009-P-CSJJU/PJ</w:t>
      </w:r>
      <w:r w:rsidRPr="00CC1EA4">
        <w:rPr>
          <w:rStyle w:val="Refdenotaalpie"/>
          <w:rFonts w:ascii="Tahoma" w:hAnsi="Tahoma" w:cs="Tahoma"/>
          <w:sz w:val="20"/>
          <w:szCs w:val="20"/>
        </w:rPr>
        <w:footnoteReference w:id="2"/>
      </w:r>
      <w:r w:rsidRPr="00CC1EA4">
        <w:rPr>
          <w:rFonts w:ascii="Tahoma" w:hAnsi="Tahoma" w:cs="Tahoma"/>
          <w:sz w:val="20"/>
          <w:szCs w:val="20"/>
        </w:rPr>
        <w:t>, bajo apercibimiento de proceder a la resolución contractual.</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3"/>
        </w:numPr>
        <w:ind w:left="567" w:hanging="567"/>
        <w:jc w:val="both"/>
        <w:rPr>
          <w:rFonts w:ascii="Tahoma" w:hAnsi="Tahoma" w:cs="Tahoma"/>
          <w:sz w:val="20"/>
          <w:szCs w:val="20"/>
        </w:rPr>
      </w:pPr>
      <w:r w:rsidRPr="00CC1EA4">
        <w:rPr>
          <w:rFonts w:ascii="Tahoma" w:hAnsi="Tahoma" w:cs="Tahoma"/>
          <w:sz w:val="20"/>
          <w:szCs w:val="20"/>
        </w:rPr>
        <w:lastRenderedPageBreak/>
        <w:t>A través de la Carta de fecha 25 de marzo de 2010, recepcionado el 26 del mismo mes y año, el Contratista comunicó a la Entidad que no se realizó la inscripción definitiva de los terrenos, toda vez que los mencionados terrenos se encontraban en proceso de saneamiento de propiedad por parte de las municipalidades respectivas, conforme los procedimientos administrativos de cada una de éstas, razón por la cual, el incumplimiento del contrato no le resultaba imputable. Asimismo, el Contratista informó a la Entidad que en aras de subsanar las observaciones y continuar con la prestación del servicio, reiteraba su disposición de continuar con la prestación.</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3"/>
        </w:numPr>
        <w:ind w:left="567" w:hanging="567"/>
        <w:jc w:val="both"/>
        <w:rPr>
          <w:rFonts w:ascii="Tahoma" w:hAnsi="Tahoma" w:cs="Tahoma"/>
          <w:sz w:val="20"/>
          <w:szCs w:val="20"/>
        </w:rPr>
      </w:pPr>
      <w:r w:rsidRPr="00CC1EA4">
        <w:rPr>
          <w:rFonts w:ascii="Tahoma" w:hAnsi="Tahoma" w:cs="Tahoma"/>
          <w:sz w:val="20"/>
          <w:szCs w:val="20"/>
        </w:rPr>
        <w:t>A través de la Carta Notarial № 002-2010-P-CSJJU/PJ de fecha 29 de marzo de 2010, diligenciada el 15 de abril del mismo año, la Entidad comunicó al Contratista que, al no haber cumplido con sus obligaciones contractuales, procedía a resolver el Contrato № 035-2009-P-CSJJU/PJ; por causal atribuible a su parte.</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3"/>
        </w:numPr>
        <w:ind w:left="567" w:hanging="567"/>
        <w:jc w:val="both"/>
        <w:rPr>
          <w:rFonts w:ascii="Tahoma" w:hAnsi="Tahoma" w:cs="Tahoma"/>
          <w:sz w:val="20"/>
          <w:szCs w:val="20"/>
        </w:rPr>
      </w:pPr>
      <w:r w:rsidRPr="00CC1EA4">
        <w:rPr>
          <w:rFonts w:ascii="Tahoma" w:hAnsi="Tahoma" w:cs="Tahoma"/>
          <w:sz w:val="20"/>
          <w:szCs w:val="20"/>
        </w:rPr>
        <w:t>Con escrito presentado el 29 de octubre de 2010 ante la Oficina Desconcentrada de Huancayo e ingresado a la Mesa de Partes del Tribunal el 03 de noviembre del mismo año, la Entidad puso en conocimiento del Tribunal de Contrataciones del Estado, en adelante el Tribunal, la supuesta responsabilidad del Contratista en la resolución del Contrato № 035-2009-P-CSJJU/PJ, por causal atribuible a su parte, derivado del acotado proceso de selección, pese a haber sido requerida de acuerdo con la legislación vigente. Asimismo, la Entidad indicó que a la fecha no existe proceso arbitral u otro mecanismo que se haya iniciado.</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3"/>
        </w:numPr>
        <w:ind w:left="567" w:hanging="567"/>
        <w:jc w:val="both"/>
        <w:rPr>
          <w:rFonts w:ascii="Tahoma" w:hAnsi="Tahoma" w:cs="Tahoma"/>
          <w:sz w:val="20"/>
          <w:szCs w:val="20"/>
        </w:rPr>
      </w:pPr>
      <w:r w:rsidRPr="00CC1EA4">
        <w:rPr>
          <w:rFonts w:ascii="Tahoma" w:hAnsi="Tahoma" w:cs="Tahoma"/>
          <w:sz w:val="20"/>
          <w:szCs w:val="20"/>
        </w:rPr>
        <w:t>Con decreto de fecha 08 de noviembre de 2010, el Tribunal inició el procedimiento administrativo sancionador contra el Contratista por su supuesta responsabilidad en la resolución del Contrato № 035-2009-P-CSJJU/PJ de fecha 29 de diciembre de 2009, derivado de la Adjudicación de Menor Cuantía № 017-2009-CEP-CSJJU/PJ, primera convocatoria, por causal atribuible a su parte, infracción tipificada en el literal b) del numeral 51.1 del artículo 51 de la Ley en concordancia con el literal b) del numeral 1) del artículo 237 del Reglamento. Asimismo, se le requirió para que en el plazo de diez (10) días hábiles cumplieran con presentar su escrito de descargos.</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3"/>
        </w:numPr>
        <w:ind w:left="567" w:hanging="567"/>
        <w:jc w:val="both"/>
        <w:rPr>
          <w:rFonts w:ascii="Tahoma" w:hAnsi="Tahoma" w:cs="Tahoma"/>
          <w:sz w:val="20"/>
          <w:szCs w:val="20"/>
        </w:rPr>
      </w:pPr>
      <w:r w:rsidRPr="00CC1EA4">
        <w:rPr>
          <w:rFonts w:ascii="Tahoma" w:hAnsi="Tahoma" w:cs="Tahoma"/>
          <w:sz w:val="20"/>
          <w:szCs w:val="20"/>
        </w:rPr>
        <w:t>Mediante decreto de fecha 19 de enero de 2011, previa razón de Secretaría, se sobrecartó la Cedula de Notificación № 123/2011.TC al domicilio sitio en: Prolongación Puno № 290, Huancayo – Junín, a fin que el Contratista cumpla con efectuar la presentación de sus descargos.</w:t>
      </w:r>
    </w:p>
    <w:p w:rsidR="00CC1EA4" w:rsidRPr="00CC1EA4" w:rsidRDefault="00CC1EA4" w:rsidP="00CC1EA4">
      <w:pPr>
        <w:ind w:left="567"/>
        <w:rPr>
          <w:rFonts w:ascii="Tahoma" w:hAnsi="Tahoma" w:cs="Tahoma"/>
          <w:sz w:val="20"/>
          <w:szCs w:val="20"/>
        </w:rPr>
      </w:pPr>
    </w:p>
    <w:p w:rsidR="00CC1EA4" w:rsidRPr="00CC1EA4" w:rsidRDefault="00CC1EA4" w:rsidP="00CC1EA4">
      <w:pPr>
        <w:numPr>
          <w:ilvl w:val="0"/>
          <w:numId w:val="23"/>
        </w:numPr>
        <w:ind w:left="567" w:hanging="567"/>
        <w:jc w:val="both"/>
        <w:rPr>
          <w:rFonts w:ascii="Tahoma" w:hAnsi="Tahoma" w:cs="Tahoma"/>
          <w:sz w:val="20"/>
          <w:szCs w:val="20"/>
        </w:rPr>
      </w:pPr>
      <w:r w:rsidRPr="00CC1EA4">
        <w:rPr>
          <w:rFonts w:ascii="Tahoma" w:hAnsi="Tahoma" w:cs="Tahoma"/>
          <w:sz w:val="20"/>
          <w:szCs w:val="20"/>
        </w:rPr>
        <w:t>Mediante escrito presentado el 12 de abril de 2011 ante la Oficina Desconcentrada de Huancayo e ingresado a la Mesa de Partes del Tribunal el 14 del mismo mes y año, el Contratista presentó su escrito de descargos, bajo los siguientes términos:</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4"/>
        </w:numPr>
        <w:ind w:left="1134" w:hanging="283"/>
        <w:jc w:val="both"/>
        <w:rPr>
          <w:rFonts w:ascii="Tahoma" w:hAnsi="Tahoma" w:cs="Tahoma"/>
          <w:sz w:val="20"/>
          <w:szCs w:val="20"/>
        </w:rPr>
      </w:pPr>
      <w:r w:rsidRPr="00CC1EA4">
        <w:rPr>
          <w:rFonts w:ascii="Tahoma" w:hAnsi="Tahoma" w:cs="Tahoma"/>
          <w:sz w:val="20"/>
          <w:szCs w:val="20"/>
        </w:rPr>
        <w:t>Luego de firmado el contrato respectivo, me apersone a los lugares donde se ubicaban los terrenos, iniciando las gestiones necesarias para las actividades conducentes a la realización del objeto contractual, hecho que queda demostrado con las tres primeras prestaciones definidas en las Bases y dentro del plazo de sesenta (60) días. (sic)</w:t>
      </w:r>
    </w:p>
    <w:p w:rsidR="00CC1EA4" w:rsidRPr="00CC1EA4" w:rsidRDefault="00CC1EA4" w:rsidP="00CC1EA4">
      <w:pPr>
        <w:ind w:left="1134"/>
        <w:rPr>
          <w:rFonts w:ascii="Tahoma" w:hAnsi="Tahoma" w:cs="Tahoma"/>
          <w:sz w:val="20"/>
          <w:szCs w:val="20"/>
        </w:rPr>
      </w:pPr>
    </w:p>
    <w:p w:rsidR="00CC1EA4" w:rsidRPr="00CC1EA4" w:rsidRDefault="00CC1EA4" w:rsidP="00CC1EA4">
      <w:pPr>
        <w:numPr>
          <w:ilvl w:val="0"/>
          <w:numId w:val="24"/>
        </w:numPr>
        <w:ind w:left="1134" w:hanging="283"/>
        <w:jc w:val="both"/>
        <w:rPr>
          <w:rFonts w:ascii="Tahoma" w:hAnsi="Tahoma" w:cs="Tahoma"/>
          <w:sz w:val="20"/>
          <w:szCs w:val="20"/>
        </w:rPr>
      </w:pPr>
      <w:r w:rsidRPr="00CC1EA4">
        <w:rPr>
          <w:rFonts w:ascii="Tahoma" w:hAnsi="Tahoma" w:cs="Tahoma"/>
          <w:sz w:val="20"/>
          <w:szCs w:val="20"/>
        </w:rPr>
        <w:t xml:space="preserve">En ese sentido, mi representada ha concluido satisfactoriamente con las elaboración de los planos de levantamiento topográfico, ubicación y localización de </w:t>
      </w:r>
      <w:r w:rsidRPr="00CC1EA4">
        <w:rPr>
          <w:rFonts w:ascii="Tahoma" w:hAnsi="Tahoma" w:cs="Tahoma"/>
          <w:sz w:val="20"/>
          <w:szCs w:val="20"/>
        </w:rPr>
        <w:lastRenderedPageBreak/>
        <w:t>los terrenos ubicados en los distritos de San Martin de Pangoa, Pichanaki, Pampa del Carmen y Satipo; así como elaboración de las memorias descriptivas de cada terreno, razón por la cual, el 01 de marzo de 2010, el suscrito solicitó a la Entidad el Acta de Conformidad del Servicio prestado. (sic)</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4"/>
        </w:numPr>
        <w:ind w:left="1134" w:hanging="283"/>
        <w:jc w:val="both"/>
        <w:rPr>
          <w:rFonts w:ascii="Tahoma" w:hAnsi="Tahoma" w:cs="Tahoma"/>
          <w:sz w:val="20"/>
          <w:szCs w:val="20"/>
        </w:rPr>
      </w:pPr>
      <w:r w:rsidRPr="00CC1EA4">
        <w:rPr>
          <w:rFonts w:ascii="Tahoma" w:hAnsi="Tahoma" w:cs="Tahoma"/>
          <w:sz w:val="20"/>
          <w:szCs w:val="20"/>
        </w:rPr>
        <w:t>Sin perjuicio de ello, quedaba la conclusión y continuación de los trámites para la inscripción en Registros Públicos, toda vez que éste era de entera responsabilidad del contratista hasta la culminación del servicio contratado y en los términos de los plazos de la propia Institución Registral, condición prevista en el segundo párrafo del numeral 5, del Capítulo III de las Bases, referido al plazo de la presentación de servicio, y que fue determinante para la postulación de mi oferta propuesta, toda vez que resultaría absurdo considerar que algún postor ofrecería un plazo que sabe no depende de él sino de la institución registral.  (sic)</w:t>
      </w:r>
    </w:p>
    <w:p w:rsidR="00CC1EA4" w:rsidRPr="00CC1EA4" w:rsidRDefault="00CC1EA4" w:rsidP="00CC1EA4">
      <w:pPr>
        <w:pStyle w:val="Prrafodelista"/>
        <w:rPr>
          <w:rFonts w:ascii="Tahoma" w:hAnsi="Tahoma" w:cs="Tahoma"/>
          <w:sz w:val="20"/>
          <w:szCs w:val="20"/>
        </w:rPr>
      </w:pPr>
    </w:p>
    <w:p w:rsidR="00CC1EA4" w:rsidRPr="00CC1EA4" w:rsidRDefault="00CC1EA4" w:rsidP="00CC1EA4">
      <w:pPr>
        <w:ind w:left="1134"/>
        <w:rPr>
          <w:rFonts w:ascii="Tahoma" w:hAnsi="Tahoma" w:cs="Tahoma"/>
          <w:sz w:val="20"/>
          <w:szCs w:val="20"/>
        </w:rPr>
      </w:pPr>
      <w:r w:rsidRPr="00CC1EA4">
        <w:rPr>
          <w:rFonts w:ascii="Tahoma" w:hAnsi="Tahoma" w:cs="Tahoma"/>
          <w:sz w:val="20"/>
          <w:szCs w:val="20"/>
        </w:rPr>
        <w:t>La ajenidad de ambas partes respecto del plazo de inscripción del saneamiento físico legal de los Registros Públicos, ha sido prevista en las páginas 8 y 9 e las Bases Administrativas. (sic)</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4"/>
        </w:numPr>
        <w:ind w:left="1134" w:hanging="283"/>
        <w:jc w:val="both"/>
        <w:rPr>
          <w:rFonts w:ascii="Tahoma" w:hAnsi="Tahoma" w:cs="Tahoma"/>
          <w:sz w:val="20"/>
          <w:szCs w:val="20"/>
        </w:rPr>
      </w:pPr>
      <w:r w:rsidRPr="00CC1EA4">
        <w:rPr>
          <w:rFonts w:ascii="Tahoma" w:hAnsi="Tahoma" w:cs="Tahoma"/>
          <w:sz w:val="20"/>
          <w:szCs w:val="20"/>
        </w:rPr>
        <w:t>Por otro lado, en el desarrollo de las gestiones necesarias a fin de inscribir los terrenos de la Entidad se tomo conocimiento de las vicisitudes imprevistas y extraordinarias dependientes a la Entidad. (sic)</w:t>
      </w:r>
    </w:p>
    <w:p w:rsidR="00CC1EA4" w:rsidRPr="00CC1EA4" w:rsidRDefault="00CC1EA4" w:rsidP="00CC1EA4">
      <w:pPr>
        <w:ind w:left="1134"/>
        <w:rPr>
          <w:rFonts w:ascii="Tahoma" w:hAnsi="Tahoma" w:cs="Tahoma"/>
          <w:sz w:val="20"/>
          <w:szCs w:val="20"/>
        </w:rPr>
      </w:pPr>
    </w:p>
    <w:p w:rsidR="00CC1EA4" w:rsidRPr="00CC1EA4" w:rsidRDefault="00CC1EA4" w:rsidP="00CC1EA4">
      <w:pPr>
        <w:numPr>
          <w:ilvl w:val="0"/>
          <w:numId w:val="24"/>
        </w:numPr>
        <w:ind w:left="1134" w:hanging="283"/>
        <w:jc w:val="both"/>
        <w:rPr>
          <w:rFonts w:ascii="Tahoma" w:hAnsi="Tahoma" w:cs="Tahoma"/>
          <w:sz w:val="20"/>
          <w:szCs w:val="20"/>
        </w:rPr>
      </w:pPr>
      <w:r w:rsidRPr="00CC1EA4">
        <w:rPr>
          <w:rFonts w:ascii="Tahoma" w:hAnsi="Tahoma" w:cs="Tahoma"/>
          <w:sz w:val="20"/>
          <w:szCs w:val="20"/>
        </w:rPr>
        <w:t>Así, pues, los terrenos ubicados en los distritos de Satipo y Pichanaki no habían sido transferidos aún a la Entidad e incluso no se encontraban saneadas ni subdividas ni independizadas por las Municipalidades que se comprometieron a donar dichos terrenos, sin embargo, el recurrente exhorto a la mencionadas municipalidades a realizar los trabajos de saneamiento.</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4"/>
        </w:numPr>
        <w:ind w:left="1134" w:hanging="283"/>
        <w:jc w:val="both"/>
        <w:rPr>
          <w:rFonts w:ascii="Tahoma" w:hAnsi="Tahoma" w:cs="Tahoma"/>
          <w:sz w:val="20"/>
          <w:szCs w:val="20"/>
        </w:rPr>
      </w:pPr>
      <w:r w:rsidRPr="00CC1EA4">
        <w:rPr>
          <w:rFonts w:ascii="Tahoma" w:hAnsi="Tahoma" w:cs="Tahoma"/>
          <w:sz w:val="20"/>
          <w:szCs w:val="20"/>
        </w:rPr>
        <w:t>Por ello, la Entidad había convocado y contratado el saneamiento de terrenos que en el momento de la contratación no contaban con independización y transferencia a la Entidad, situación que imposibilito de facto la continuación de las gestiones de inscripción, por situaciones formales ajenas a mi persona.</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4"/>
        </w:numPr>
        <w:ind w:left="1134" w:hanging="283"/>
        <w:jc w:val="both"/>
        <w:rPr>
          <w:rFonts w:ascii="Tahoma" w:hAnsi="Tahoma" w:cs="Tahoma"/>
          <w:sz w:val="20"/>
          <w:szCs w:val="20"/>
        </w:rPr>
      </w:pPr>
      <w:r w:rsidRPr="00CC1EA4">
        <w:rPr>
          <w:rFonts w:ascii="Tahoma" w:hAnsi="Tahoma" w:cs="Tahoma"/>
          <w:sz w:val="20"/>
          <w:szCs w:val="20"/>
        </w:rPr>
        <w:t>La exigencia de inscribir los terrenos ante la SUNARP, era imposible de realizar, pues el plazo de inscripción no sólo dependía de la Entidad Registral, sino que requería necesariamente la práctica de actos previos por parte de la Entidad y las Municipalidades donantes para la transferencia de dos de los terrenos materia de la inscripción.</w:t>
      </w:r>
    </w:p>
    <w:p w:rsidR="00CC1EA4" w:rsidRPr="00CC1EA4" w:rsidRDefault="00CC1EA4" w:rsidP="00CC1EA4">
      <w:pPr>
        <w:ind w:left="1134"/>
        <w:rPr>
          <w:rFonts w:ascii="Tahoma" w:hAnsi="Tahoma" w:cs="Tahoma"/>
          <w:sz w:val="20"/>
          <w:szCs w:val="20"/>
        </w:rPr>
      </w:pPr>
    </w:p>
    <w:p w:rsidR="00CC1EA4" w:rsidRPr="00CC1EA4" w:rsidRDefault="00CC1EA4" w:rsidP="00CC1EA4">
      <w:pPr>
        <w:numPr>
          <w:ilvl w:val="0"/>
          <w:numId w:val="24"/>
        </w:numPr>
        <w:ind w:left="1134" w:hanging="283"/>
        <w:jc w:val="both"/>
        <w:rPr>
          <w:rFonts w:ascii="Tahoma" w:hAnsi="Tahoma" w:cs="Tahoma"/>
          <w:sz w:val="20"/>
          <w:szCs w:val="20"/>
        </w:rPr>
      </w:pPr>
      <w:r w:rsidRPr="00CC1EA4">
        <w:rPr>
          <w:rFonts w:ascii="Tahoma" w:hAnsi="Tahoma" w:cs="Tahoma"/>
          <w:sz w:val="20"/>
          <w:szCs w:val="20"/>
        </w:rPr>
        <w:t>Por lo tanto, el recurrente  ha demostrado en forma contundente que cumplió con la prestación parcial de los términos de referencia pues, se ha concluido con el plazo de sesenta (60) días con las tres prestaciones a su cargo y la cuarta y última prestación de inscripción de los cuatro terrenos en Registros Públicos, siendo que dos de ellos ya están en Registros Públicos (su inscripción depende de la institución registral) y los otros dos terrenos (terreno de otras Entidades) son pacientes de una imposibilidad factual por causa atribuible a la Entidad.</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4"/>
        </w:numPr>
        <w:ind w:left="1134" w:hanging="283"/>
        <w:jc w:val="both"/>
        <w:rPr>
          <w:rFonts w:ascii="Tahoma" w:hAnsi="Tahoma" w:cs="Tahoma"/>
          <w:sz w:val="20"/>
          <w:szCs w:val="20"/>
        </w:rPr>
      </w:pPr>
      <w:r w:rsidRPr="00CC1EA4">
        <w:rPr>
          <w:rFonts w:ascii="Tahoma" w:hAnsi="Tahoma" w:cs="Tahoma"/>
          <w:sz w:val="20"/>
          <w:szCs w:val="20"/>
        </w:rPr>
        <w:t xml:space="preserve">Por último, cabe precisar que la Entidad contrato un servicio de saneamiento físico legal de los terrenos de la Entidad, sobre dos terrenos que no eran de la Entidad, </w:t>
      </w:r>
      <w:r w:rsidRPr="00CC1EA4">
        <w:rPr>
          <w:rFonts w:ascii="Tahoma" w:hAnsi="Tahoma" w:cs="Tahoma"/>
          <w:sz w:val="20"/>
          <w:szCs w:val="20"/>
        </w:rPr>
        <w:lastRenderedPageBreak/>
        <w:t>razón por la cual, a fin de cumplir con la inscripción de esos terrenos, era necesario la realización de actos previos por parte de la Entidad, tales como exigir las Municipalidades (donantes de los Terrenos) la independización, cambio de uso y subdivisión de sus terrenos.</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3"/>
        </w:numPr>
        <w:ind w:left="567" w:hanging="567"/>
        <w:jc w:val="both"/>
        <w:rPr>
          <w:rFonts w:ascii="Tahoma" w:hAnsi="Tahoma" w:cs="Tahoma"/>
          <w:sz w:val="20"/>
          <w:szCs w:val="20"/>
        </w:rPr>
      </w:pPr>
      <w:r w:rsidRPr="00CC1EA4">
        <w:rPr>
          <w:rFonts w:ascii="Tahoma" w:hAnsi="Tahoma" w:cs="Tahoma"/>
          <w:sz w:val="20"/>
          <w:szCs w:val="20"/>
        </w:rPr>
        <w:t>Con decreto de fecha 19 de abril de 2011, se tuvo por apersonada al Contratista a la instancia administrativa, y se remitió el expediente a la Primera Sala del Tribunal para que resolviera.</w:t>
      </w:r>
    </w:p>
    <w:p w:rsidR="00CC1EA4" w:rsidRPr="00CC1EA4" w:rsidRDefault="00CC1EA4" w:rsidP="00CC1EA4">
      <w:pPr>
        <w:ind w:left="567"/>
        <w:rPr>
          <w:rFonts w:ascii="Tahoma" w:hAnsi="Tahoma" w:cs="Tahoma"/>
          <w:sz w:val="20"/>
          <w:szCs w:val="20"/>
        </w:rPr>
      </w:pPr>
      <w:r w:rsidRPr="00CC1EA4">
        <w:rPr>
          <w:rFonts w:ascii="Tahoma" w:hAnsi="Tahoma" w:cs="Tahoma"/>
          <w:sz w:val="20"/>
          <w:szCs w:val="20"/>
        </w:rPr>
        <w:t xml:space="preserve"> </w:t>
      </w:r>
    </w:p>
    <w:p w:rsidR="00CC1EA4" w:rsidRPr="00CC1EA4" w:rsidRDefault="00CC1EA4" w:rsidP="00CC1EA4">
      <w:pPr>
        <w:numPr>
          <w:ilvl w:val="0"/>
          <w:numId w:val="23"/>
        </w:numPr>
        <w:ind w:left="567" w:hanging="567"/>
        <w:jc w:val="both"/>
        <w:rPr>
          <w:rFonts w:ascii="Tahoma" w:hAnsi="Tahoma" w:cs="Tahoma"/>
          <w:sz w:val="20"/>
          <w:szCs w:val="20"/>
        </w:rPr>
      </w:pPr>
      <w:r w:rsidRPr="00CC1EA4">
        <w:rPr>
          <w:rFonts w:ascii="Tahoma" w:hAnsi="Tahoma" w:cs="Tahoma"/>
          <w:sz w:val="20"/>
          <w:szCs w:val="20"/>
          <w:lang w:val="es-ES_tradnl"/>
        </w:rPr>
        <w:t xml:space="preserve">A través del decreto de fecha 26 de mayo de 2011, el Tribunal programó Audiencia Pública para el 02 de junio del mismo año, </w:t>
      </w:r>
      <w:r w:rsidRPr="00CC1EA4">
        <w:rPr>
          <w:rFonts w:ascii="Tahoma" w:hAnsi="Tahoma" w:cs="Tahoma"/>
          <w:sz w:val="20"/>
          <w:szCs w:val="20"/>
        </w:rPr>
        <w:t>la misma que quedó frustrada por inasistencia de las partes.</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3"/>
        </w:numPr>
        <w:ind w:left="567" w:hanging="567"/>
        <w:jc w:val="both"/>
        <w:rPr>
          <w:rFonts w:ascii="Tahoma" w:hAnsi="Tahoma" w:cs="Tahoma"/>
          <w:sz w:val="20"/>
          <w:szCs w:val="20"/>
        </w:rPr>
      </w:pPr>
      <w:r w:rsidRPr="00CC1EA4">
        <w:rPr>
          <w:rFonts w:ascii="Tahoma" w:hAnsi="Tahoma" w:cs="Tahoma"/>
          <w:sz w:val="20"/>
          <w:szCs w:val="20"/>
        </w:rPr>
        <w:t>Mediante Resolución № 1063-2011-TC-S1 del 21 de junio de 2011, notificado el 27 del mismo mes y año, el Tribunal impuso al señor CARLOS ENRIQUE FABIAN CHALE sanción administrativa de inhabilitación temporal por el periodo de doce (12) meses en sus derechos de participar en procesos de selección y contratar con el Estado, al haber incurrido en la infracción referida a la responsabilidad en dar lugar a la resolución del contrato por causal atribuible a su parte, infracción tipificada en el literal b) del numeral 51.1 del artículo 51 de la Ley  en concordancia con el literal b) del numeral 1) del artículo 237 de su Reglamento</w:t>
      </w:r>
      <w:r w:rsidRPr="00CC1EA4">
        <w:rPr>
          <w:rFonts w:ascii="Tahoma" w:hAnsi="Tahoma" w:cs="Tahoma"/>
          <w:bCs/>
          <w:sz w:val="20"/>
          <w:szCs w:val="20"/>
        </w:rPr>
        <w:t>.</w:t>
      </w:r>
    </w:p>
    <w:p w:rsidR="00CC1EA4" w:rsidRPr="00CC1EA4" w:rsidRDefault="00CC1EA4" w:rsidP="00CC1EA4">
      <w:pPr>
        <w:pStyle w:val="Prrafodelista"/>
        <w:rPr>
          <w:rFonts w:ascii="Tahoma" w:hAnsi="Tahoma" w:cs="Tahoma"/>
          <w:sz w:val="20"/>
          <w:szCs w:val="20"/>
        </w:rPr>
      </w:pPr>
    </w:p>
    <w:p w:rsidR="00CC1EA4" w:rsidRPr="00CC1EA4" w:rsidRDefault="00CC1EA4" w:rsidP="00CC1EA4">
      <w:pPr>
        <w:pStyle w:val="Textoindependiente"/>
        <w:numPr>
          <w:ilvl w:val="0"/>
          <w:numId w:val="23"/>
        </w:numPr>
        <w:tabs>
          <w:tab w:val="left" w:pos="-2340"/>
          <w:tab w:val="num" w:pos="567"/>
        </w:tabs>
        <w:spacing w:after="0"/>
        <w:ind w:left="567" w:hanging="567"/>
        <w:jc w:val="both"/>
        <w:rPr>
          <w:rFonts w:ascii="Tahoma" w:hAnsi="Tahoma" w:cs="Tahoma"/>
          <w:sz w:val="20"/>
          <w:szCs w:val="20"/>
        </w:rPr>
      </w:pPr>
      <w:r w:rsidRPr="00CC1EA4">
        <w:rPr>
          <w:rFonts w:ascii="Tahoma" w:hAnsi="Tahoma" w:cs="Tahoma"/>
          <w:sz w:val="20"/>
          <w:szCs w:val="20"/>
        </w:rPr>
        <w:t>Mediante formulario presentado el 05 de julio de 2011 ante la Oficina Desconcentrada de Huancayo e ingresado a la Mesa de Partes del Tribunal el 07 del mismo mes y año, el Contratista interpuso recurso de reconsideración contra la Resolución № 1063-2011-TC-S1 de fecha 21 de junio de 2011 y solicitó al Tribunal que resolviera con arreglo a ley, por los argumentos contenidos en dicho recurso.</w:t>
      </w:r>
    </w:p>
    <w:p w:rsidR="00CC1EA4" w:rsidRPr="00CC1EA4" w:rsidRDefault="00CC1EA4" w:rsidP="00CC1EA4">
      <w:pPr>
        <w:pStyle w:val="Prrafodelista"/>
        <w:tabs>
          <w:tab w:val="num" w:pos="567"/>
        </w:tabs>
        <w:ind w:left="567" w:hanging="567"/>
        <w:rPr>
          <w:rFonts w:ascii="Tahoma" w:hAnsi="Tahoma" w:cs="Tahoma"/>
          <w:sz w:val="20"/>
          <w:szCs w:val="20"/>
        </w:rPr>
      </w:pPr>
    </w:p>
    <w:p w:rsidR="00CC1EA4" w:rsidRPr="00CC1EA4" w:rsidRDefault="00CC1EA4" w:rsidP="00CC1EA4">
      <w:pPr>
        <w:pStyle w:val="Prrafodelista"/>
        <w:numPr>
          <w:ilvl w:val="0"/>
          <w:numId w:val="23"/>
        </w:numPr>
        <w:tabs>
          <w:tab w:val="num" w:pos="567"/>
        </w:tabs>
        <w:ind w:left="567" w:hanging="567"/>
        <w:jc w:val="both"/>
        <w:rPr>
          <w:rFonts w:ascii="Tahoma" w:hAnsi="Tahoma" w:cs="Tahoma"/>
          <w:sz w:val="20"/>
          <w:szCs w:val="20"/>
        </w:rPr>
      </w:pPr>
      <w:r w:rsidRPr="00CC1EA4">
        <w:rPr>
          <w:rFonts w:ascii="Tahoma" w:hAnsi="Tahoma" w:cs="Tahoma"/>
          <w:sz w:val="20"/>
          <w:szCs w:val="20"/>
        </w:rPr>
        <w:t>Mediante decreto de fecha 07 de julio de 2011, se admitió a trámite el recurso de reconsideración interpuesto y se remitió el presente expediente a la Primera Sala del Tribunal para que resolviera el recurso de reconsideración presentado por la Contratista.</w:t>
      </w:r>
    </w:p>
    <w:p w:rsidR="00CC1EA4" w:rsidRPr="00CC1EA4" w:rsidRDefault="00CC1EA4" w:rsidP="00CC1EA4">
      <w:pPr>
        <w:pStyle w:val="Prrafodelista"/>
        <w:rPr>
          <w:rFonts w:ascii="Tahoma" w:hAnsi="Tahoma" w:cs="Tahoma"/>
          <w:sz w:val="20"/>
          <w:szCs w:val="20"/>
        </w:rPr>
      </w:pPr>
    </w:p>
    <w:p w:rsidR="00CC1EA4" w:rsidRPr="00CC1EA4" w:rsidRDefault="00CC1EA4" w:rsidP="00CC1EA4">
      <w:pPr>
        <w:pStyle w:val="Prrafodelista"/>
        <w:numPr>
          <w:ilvl w:val="0"/>
          <w:numId w:val="23"/>
        </w:numPr>
        <w:tabs>
          <w:tab w:val="num" w:pos="567"/>
        </w:tabs>
        <w:ind w:left="567" w:hanging="567"/>
        <w:jc w:val="both"/>
        <w:rPr>
          <w:rFonts w:ascii="Tahoma" w:hAnsi="Tahoma" w:cs="Tahoma"/>
          <w:sz w:val="20"/>
          <w:szCs w:val="20"/>
        </w:rPr>
      </w:pPr>
      <w:r w:rsidRPr="00CC1EA4">
        <w:rPr>
          <w:rFonts w:ascii="Tahoma" w:hAnsi="Tahoma" w:cs="Tahoma"/>
          <w:sz w:val="20"/>
          <w:szCs w:val="20"/>
        </w:rPr>
        <w:t>A través del decreto de fecha 15 de julio de 2011, se programó la diligencia de Audiencia Pública para el 21 de julio del mismo año, la misma que se reprogramó para el 25 de julio de 2011.</w:t>
      </w:r>
    </w:p>
    <w:p w:rsidR="00CC1EA4" w:rsidRPr="00CC1EA4" w:rsidRDefault="00CC1EA4" w:rsidP="00CC1EA4">
      <w:pPr>
        <w:pStyle w:val="Prrafodelista"/>
        <w:rPr>
          <w:rFonts w:ascii="Tahoma" w:hAnsi="Tahoma" w:cs="Tahoma"/>
          <w:sz w:val="20"/>
          <w:szCs w:val="20"/>
        </w:rPr>
      </w:pPr>
    </w:p>
    <w:p w:rsidR="00CC1EA4" w:rsidRPr="00CC1EA4" w:rsidRDefault="00CC1EA4" w:rsidP="00CC1EA4">
      <w:pPr>
        <w:numPr>
          <w:ilvl w:val="0"/>
          <w:numId w:val="23"/>
        </w:numPr>
        <w:ind w:left="567" w:hanging="567"/>
        <w:jc w:val="both"/>
        <w:rPr>
          <w:rFonts w:ascii="Tahoma" w:hAnsi="Tahoma" w:cs="Tahoma"/>
          <w:sz w:val="20"/>
          <w:szCs w:val="20"/>
        </w:rPr>
      </w:pPr>
      <w:r w:rsidRPr="00CC1EA4">
        <w:rPr>
          <w:rFonts w:ascii="Tahoma" w:hAnsi="Tahoma" w:cs="Tahoma"/>
          <w:sz w:val="20"/>
          <w:szCs w:val="20"/>
        </w:rPr>
        <w:t>El 25 de julio de 2011, se realizó la diligencia de Audiencia Pública con intervención del Contratista.</w:t>
      </w:r>
    </w:p>
    <w:p w:rsidR="00A460D5" w:rsidRPr="00CC1EA4" w:rsidRDefault="00A460D5" w:rsidP="00986843">
      <w:pPr>
        <w:tabs>
          <w:tab w:val="left" w:pos="567"/>
        </w:tabs>
        <w:ind w:left="567" w:right="-2"/>
        <w:jc w:val="both"/>
        <w:rPr>
          <w:rFonts w:ascii="Tahoma" w:hAnsi="Tahoma" w:cs="Tahoma"/>
          <w:sz w:val="20"/>
          <w:szCs w:val="20"/>
        </w:rPr>
      </w:pPr>
    </w:p>
    <w:p w:rsidR="00711297" w:rsidRPr="00CC1EA4" w:rsidRDefault="00711297" w:rsidP="00986843">
      <w:pPr>
        <w:jc w:val="both"/>
        <w:rPr>
          <w:rFonts w:ascii="Tahoma" w:hAnsi="Tahoma" w:cs="Tahoma"/>
          <w:b/>
          <w:sz w:val="20"/>
          <w:szCs w:val="20"/>
        </w:rPr>
      </w:pPr>
      <w:r w:rsidRPr="00CC1EA4">
        <w:rPr>
          <w:rFonts w:ascii="Tahoma" w:hAnsi="Tahoma" w:cs="Tahoma"/>
          <w:b/>
          <w:sz w:val="20"/>
          <w:szCs w:val="20"/>
        </w:rPr>
        <w:t>FUNDAMENTACIÓN:</w:t>
      </w:r>
    </w:p>
    <w:p w:rsidR="00711297" w:rsidRPr="00CC1EA4" w:rsidRDefault="00711297" w:rsidP="00986843">
      <w:pPr>
        <w:jc w:val="both"/>
        <w:rPr>
          <w:rFonts w:ascii="Tahoma" w:hAnsi="Tahoma" w:cs="Tahoma"/>
          <w:b/>
          <w:sz w:val="20"/>
          <w:szCs w:val="20"/>
        </w:rPr>
      </w:pPr>
    </w:p>
    <w:p w:rsidR="00CC1EA4" w:rsidRPr="00CC1EA4" w:rsidRDefault="00CC1EA4" w:rsidP="00CC1EA4">
      <w:pPr>
        <w:pStyle w:val="Textoindependiente"/>
        <w:widowControl w:val="0"/>
        <w:numPr>
          <w:ilvl w:val="0"/>
          <w:numId w:val="5"/>
        </w:numPr>
        <w:tabs>
          <w:tab w:val="num" w:pos="567"/>
        </w:tabs>
        <w:suppressAutoHyphens/>
        <w:spacing w:after="0"/>
        <w:ind w:left="567" w:hanging="567"/>
        <w:jc w:val="both"/>
        <w:rPr>
          <w:rFonts w:ascii="Tahoma" w:hAnsi="Tahoma" w:cs="Tahoma"/>
          <w:sz w:val="20"/>
          <w:szCs w:val="20"/>
        </w:rPr>
      </w:pPr>
      <w:r w:rsidRPr="00CC1EA4">
        <w:rPr>
          <w:rFonts w:ascii="Tahoma" w:hAnsi="Tahoma" w:cs="Tahoma"/>
          <w:sz w:val="20"/>
          <w:szCs w:val="20"/>
        </w:rPr>
        <w:t>El recurso de reconsideración en los procedimientos administrativos sancionadores a cargo del Tribunal ha sido regulado en el artículo 249 del Reglamento de la Ley de Contrataciones del Estado aprobado mediante Decreto Supremo № 184-2008-EF</w:t>
      </w:r>
      <w:r w:rsidRPr="00CC1EA4">
        <w:rPr>
          <w:rFonts w:ascii="Tahoma" w:hAnsi="Tahoma" w:cs="Tahoma"/>
          <w:sz w:val="20"/>
          <w:szCs w:val="20"/>
          <w:vertAlign w:val="superscript"/>
        </w:rPr>
        <w:footnoteReference w:id="3"/>
      </w:r>
      <w:r w:rsidRPr="00CC1EA4">
        <w:rPr>
          <w:rFonts w:ascii="Tahoma" w:hAnsi="Tahoma" w:cs="Tahoma"/>
          <w:sz w:val="20"/>
          <w:szCs w:val="20"/>
        </w:rPr>
        <w:t xml:space="preserve">, en lo </w:t>
      </w:r>
      <w:r w:rsidRPr="00CC1EA4">
        <w:rPr>
          <w:rFonts w:ascii="Tahoma" w:hAnsi="Tahoma" w:cs="Tahoma"/>
          <w:sz w:val="20"/>
          <w:szCs w:val="20"/>
        </w:rPr>
        <w:lastRenderedPageBreak/>
        <w:t>sucesivo el Reglamento, a cuyo tenor aquél debe ser interpuesto dentro de los cinco (5) días hábiles siguientes de la notificación de la resolución que impone la sanción y resuelto en el término de quince (15) días hábiles desde su presentación o subsanación.</w:t>
      </w:r>
    </w:p>
    <w:p w:rsidR="00CC1EA4" w:rsidRPr="00CC1EA4" w:rsidRDefault="00CC1EA4" w:rsidP="00CC1EA4">
      <w:pPr>
        <w:pStyle w:val="Textoindependiente"/>
        <w:widowControl w:val="0"/>
        <w:suppressAutoHyphens/>
        <w:ind w:left="567"/>
        <w:rPr>
          <w:rFonts w:ascii="Tahoma" w:hAnsi="Tahoma" w:cs="Tahoma"/>
          <w:sz w:val="20"/>
          <w:szCs w:val="20"/>
        </w:rPr>
      </w:pPr>
    </w:p>
    <w:p w:rsidR="00CC1EA4" w:rsidRPr="00CC1EA4" w:rsidRDefault="00CC1EA4" w:rsidP="00CC1EA4">
      <w:pPr>
        <w:pStyle w:val="Textoindependiente"/>
        <w:widowControl w:val="0"/>
        <w:numPr>
          <w:ilvl w:val="0"/>
          <w:numId w:val="5"/>
        </w:numPr>
        <w:tabs>
          <w:tab w:val="num" w:pos="567"/>
        </w:tabs>
        <w:suppressAutoHyphens/>
        <w:spacing w:after="0"/>
        <w:ind w:left="567" w:hanging="567"/>
        <w:jc w:val="both"/>
        <w:rPr>
          <w:rFonts w:ascii="Tahoma" w:hAnsi="Tahoma" w:cs="Tahoma"/>
          <w:sz w:val="20"/>
          <w:szCs w:val="20"/>
        </w:rPr>
      </w:pPr>
      <w:r w:rsidRPr="00CC1EA4">
        <w:rPr>
          <w:rFonts w:ascii="Tahoma" w:hAnsi="Tahoma" w:cs="Tahoma"/>
          <w:sz w:val="20"/>
          <w:szCs w:val="20"/>
        </w:rPr>
        <w:t>En el caso de autos, el señor CARLOS ENRIQUE FABIAN CHALE ha interpuesto recurso de reconsideración contra la Resolución № 1063-2011-TC-S1 de fecha 21 de junio de 2011, mediante la cual el Tribunal le impuso sanción administrativa de inhabilitación temporal en sus derechos para participar en procesos de selección y contratar con el Estado, por el periodo de doce (12) meses, al haberse determinado su responsabilidad en la comisión de la infracción tipificada en el literal b) del numeral 51.1 del artículo 51 de la Ley en concordancia con el literal b) del numeral 1) del artículo 237 de su Reglamento</w:t>
      </w:r>
      <w:r w:rsidRPr="00CC1EA4">
        <w:rPr>
          <w:rStyle w:val="Refdenotaalpie"/>
          <w:rFonts w:ascii="Tahoma" w:eastAsia="Calibri" w:hAnsi="Tahoma" w:cs="Tahoma"/>
          <w:sz w:val="20"/>
          <w:szCs w:val="20"/>
        </w:rPr>
        <w:footnoteReference w:id="4"/>
      </w:r>
      <w:r w:rsidRPr="00CC1EA4">
        <w:rPr>
          <w:rFonts w:ascii="Tahoma" w:hAnsi="Tahoma" w:cs="Tahoma"/>
          <w:sz w:val="20"/>
          <w:szCs w:val="20"/>
        </w:rPr>
        <w:t>.</w:t>
      </w:r>
    </w:p>
    <w:p w:rsidR="00CC1EA4" w:rsidRPr="00CC1EA4" w:rsidRDefault="00CC1EA4" w:rsidP="00CC1EA4">
      <w:pPr>
        <w:pStyle w:val="Prrafodelista"/>
        <w:ind w:left="1134"/>
        <w:rPr>
          <w:rFonts w:ascii="Tahoma" w:hAnsi="Tahoma" w:cs="Tahoma"/>
          <w:sz w:val="20"/>
          <w:szCs w:val="20"/>
        </w:rPr>
      </w:pPr>
    </w:p>
    <w:p w:rsidR="00CC1EA4" w:rsidRPr="00CC1EA4" w:rsidRDefault="00CC1EA4" w:rsidP="00CC1EA4">
      <w:pPr>
        <w:pStyle w:val="Textoindependiente"/>
        <w:widowControl w:val="0"/>
        <w:numPr>
          <w:ilvl w:val="0"/>
          <w:numId w:val="5"/>
        </w:numPr>
        <w:tabs>
          <w:tab w:val="num" w:pos="567"/>
        </w:tabs>
        <w:suppressAutoHyphens/>
        <w:spacing w:after="0"/>
        <w:ind w:left="567" w:hanging="567"/>
        <w:jc w:val="both"/>
        <w:rPr>
          <w:rFonts w:ascii="Tahoma" w:hAnsi="Tahoma" w:cs="Tahoma"/>
          <w:sz w:val="20"/>
          <w:szCs w:val="20"/>
        </w:rPr>
      </w:pPr>
      <w:r w:rsidRPr="00CC1EA4">
        <w:rPr>
          <w:rFonts w:ascii="Tahoma" w:hAnsi="Tahoma" w:cs="Tahoma"/>
          <w:sz w:val="20"/>
          <w:szCs w:val="20"/>
        </w:rPr>
        <w:t>Previamente este Colegiado debe analizar si el recurso materia de análisis ha sido interpuesto oportunamente, es decir dentro del plazo señalado expresamente en la normativa precitada.</w:t>
      </w:r>
    </w:p>
    <w:p w:rsidR="00CC1EA4" w:rsidRPr="00CC1EA4" w:rsidRDefault="00CC1EA4" w:rsidP="00CC1EA4">
      <w:pPr>
        <w:pStyle w:val="Prrafodelista"/>
        <w:rPr>
          <w:rFonts w:ascii="Tahoma" w:hAnsi="Tahoma" w:cs="Tahoma"/>
          <w:sz w:val="20"/>
          <w:szCs w:val="20"/>
        </w:rPr>
      </w:pPr>
    </w:p>
    <w:p w:rsidR="00CC1EA4" w:rsidRPr="00CC1EA4" w:rsidRDefault="00CC1EA4" w:rsidP="00CC1EA4">
      <w:pPr>
        <w:pStyle w:val="Textoindependiente"/>
        <w:widowControl w:val="0"/>
        <w:numPr>
          <w:ilvl w:val="0"/>
          <w:numId w:val="5"/>
        </w:numPr>
        <w:tabs>
          <w:tab w:val="num" w:pos="567"/>
        </w:tabs>
        <w:suppressAutoHyphens/>
        <w:spacing w:after="0"/>
        <w:ind w:left="567" w:hanging="567"/>
        <w:jc w:val="both"/>
        <w:rPr>
          <w:rFonts w:ascii="Tahoma" w:hAnsi="Tahoma" w:cs="Tahoma"/>
          <w:sz w:val="20"/>
          <w:szCs w:val="20"/>
        </w:rPr>
      </w:pPr>
      <w:r w:rsidRPr="00CC1EA4">
        <w:rPr>
          <w:rFonts w:ascii="Tahoma" w:hAnsi="Tahoma" w:cs="Tahoma"/>
          <w:sz w:val="20"/>
          <w:szCs w:val="20"/>
        </w:rPr>
        <w:t>En el presente caso, se ha verificado que la Resolución № 1063-2011-TC-S1 fue notificada al Contratista el 27 de junio de 2011 y el recurso de reconsideración fue ingresado a Mesa de Partes del Tribunal el 05 de julio del mismo año, por lo que dicho recurso interpuesto por el impugnante se realizó dentro del plazo previsto en el artículo 249 del Reglamento.</w:t>
      </w:r>
    </w:p>
    <w:p w:rsidR="00CC1EA4" w:rsidRPr="00CC1EA4" w:rsidRDefault="00CC1EA4" w:rsidP="00CC1EA4">
      <w:pPr>
        <w:pStyle w:val="Prrafodelista"/>
        <w:ind w:left="1134"/>
        <w:rPr>
          <w:rFonts w:ascii="Tahoma" w:hAnsi="Tahoma" w:cs="Tahoma"/>
          <w:sz w:val="20"/>
          <w:szCs w:val="20"/>
        </w:rPr>
      </w:pPr>
    </w:p>
    <w:p w:rsidR="00CC1EA4" w:rsidRPr="00CC1EA4" w:rsidRDefault="00CC1EA4" w:rsidP="00CC1EA4">
      <w:pPr>
        <w:pStyle w:val="Textoindependiente"/>
        <w:widowControl w:val="0"/>
        <w:numPr>
          <w:ilvl w:val="0"/>
          <w:numId w:val="5"/>
        </w:numPr>
        <w:tabs>
          <w:tab w:val="num" w:pos="567"/>
        </w:tabs>
        <w:suppressAutoHyphens/>
        <w:spacing w:after="0"/>
        <w:ind w:left="567" w:hanging="567"/>
        <w:jc w:val="both"/>
        <w:rPr>
          <w:rFonts w:ascii="Tahoma" w:hAnsi="Tahoma" w:cs="Tahoma"/>
          <w:sz w:val="20"/>
          <w:szCs w:val="20"/>
        </w:rPr>
      </w:pPr>
      <w:r w:rsidRPr="00CC1EA4">
        <w:rPr>
          <w:rFonts w:ascii="Tahoma" w:hAnsi="Tahoma" w:cs="Tahoma"/>
          <w:sz w:val="20"/>
          <w:szCs w:val="20"/>
        </w:rPr>
        <w:t>Ahora bien, en el presente recurso de reconsideración, el Contratista ha fundamentado su recurso de reconsideración bajo los siguientes argumentos:</w:t>
      </w:r>
    </w:p>
    <w:p w:rsidR="00CC1EA4" w:rsidRPr="00CC1EA4" w:rsidRDefault="00CC1EA4" w:rsidP="00CC1EA4">
      <w:pPr>
        <w:pStyle w:val="Prrafodelista"/>
        <w:ind w:left="1134"/>
        <w:rPr>
          <w:rFonts w:ascii="Tahoma" w:hAnsi="Tahoma" w:cs="Tahoma"/>
          <w:sz w:val="20"/>
          <w:szCs w:val="20"/>
          <w:lang w:val="es-PE"/>
        </w:rPr>
      </w:pPr>
    </w:p>
    <w:p w:rsidR="00CC1EA4" w:rsidRPr="00CC1EA4" w:rsidRDefault="00CC1EA4" w:rsidP="00CC1EA4">
      <w:pPr>
        <w:pStyle w:val="Prrafodelista"/>
        <w:numPr>
          <w:ilvl w:val="0"/>
          <w:numId w:val="26"/>
        </w:numPr>
        <w:tabs>
          <w:tab w:val="left" w:pos="426"/>
        </w:tabs>
        <w:ind w:left="1276" w:hanging="425"/>
        <w:jc w:val="both"/>
        <w:rPr>
          <w:rFonts w:ascii="Tahoma" w:hAnsi="Tahoma" w:cs="Tahoma"/>
          <w:sz w:val="20"/>
          <w:szCs w:val="20"/>
        </w:rPr>
      </w:pPr>
      <w:r w:rsidRPr="00CC1EA4">
        <w:rPr>
          <w:rFonts w:ascii="Tahoma" w:hAnsi="Tahoma" w:cs="Tahoma"/>
          <w:sz w:val="20"/>
          <w:szCs w:val="20"/>
        </w:rPr>
        <w:t>Que, la presentación de los expedientes ante los Registros Públicos de los terrenos ubicados en los distritos de San Martin de Pangoa y Pichanaki se realizaron el 18 de marzo de 2010 y 11 de diciembre de 2009, respectivamente, dicho lo cual, aquéllos se encontraban a merced del plazo de la propia Entidad Registral y no del Contratista, por lo que resultaba fuero de todo razonamiento exigir el registro o la inscripción definitiva por parte de la SUNARP en el plazo de cinco (5) días, plazo que fuera concedido por la Entidad desconociendo los términos de referencia del Contrato № 035-2009-P-CSJJU/PJ. (sic)</w:t>
      </w:r>
    </w:p>
    <w:p w:rsidR="00CC1EA4" w:rsidRPr="00CC1EA4" w:rsidRDefault="00CC1EA4" w:rsidP="00CC1EA4">
      <w:pPr>
        <w:pStyle w:val="Prrafodelista"/>
        <w:tabs>
          <w:tab w:val="left" w:pos="426"/>
        </w:tabs>
        <w:ind w:left="1276"/>
        <w:rPr>
          <w:rFonts w:ascii="Tahoma" w:hAnsi="Tahoma" w:cs="Tahoma"/>
          <w:sz w:val="20"/>
          <w:szCs w:val="20"/>
        </w:rPr>
      </w:pPr>
    </w:p>
    <w:p w:rsidR="00CC1EA4" w:rsidRPr="00CC1EA4" w:rsidRDefault="00CC1EA4" w:rsidP="00CC1EA4">
      <w:pPr>
        <w:pStyle w:val="Prrafodelista"/>
        <w:numPr>
          <w:ilvl w:val="0"/>
          <w:numId w:val="26"/>
        </w:numPr>
        <w:tabs>
          <w:tab w:val="left" w:pos="426"/>
        </w:tabs>
        <w:ind w:left="1276" w:hanging="425"/>
        <w:jc w:val="both"/>
        <w:rPr>
          <w:rFonts w:ascii="Tahoma" w:hAnsi="Tahoma" w:cs="Tahoma"/>
          <w:sz w:val="20"/>
          <w:szCs w:val="20"/>
        </w:rPr>
      </w:pPr>
      <w:r w:rsidRPr="00CC1EA4">
        <w:rPr>
          <w:rFonts w:ascii="Tahoma" w:hAnsi="Tahoma" w:cs="Tahoma"/>
          <w:sz w:val="20"/>
          <w:szCs w:val="20"/>
        </w:rPr>
        <w:t xml:space="preserve">Que, la Entidad no requirió el cumplimiento de la presentación de los expedientes ante la SUNARP, únicamente sino la imposible prestación integral consistente en la inscripción definitiva de los cuatro terrenos a favor de la Entidad en los Registros Públicos, dentro de los 5 días, plazo que no dependía del Contratista, exigencia que se hizo a sabiendas que pesaban situaciones de imposibilidad sobre dos terrenos (Satipo y Chanchamayo) y que los otros dos (Pangoa y </w:t>
      </w:r>
      <w:r w:rsidRPr="00CC1EA4">
        <w:rPr>
          <w:rFonts w:ascii="Tahoma" w:hAnsi="Tahoma" w:cs="Tahoma"/>
          <w:sz w:val="20"/>
          <w:szCs w:val="20"/>
        </w:rPr>
        <w:lastRenderedPageBreak/>
        <w:t>Pichanaki) ya estaban presentados en Registros Públicos a la espera de su inscripción definitiva acorde a los plazos de la Entidad Registral. (sic)</w:t>
      </w:r>
    </w:p>
    <w:p w:rsidR="00CC1EA4" w:rsidRPr="00CC1EA4" w:rsidRDefault="00CC1EA4" w:rsidP="00CC1EA4">
      <w:pPr>
        <w:rPr>
          <w:rFonts w:ascii="Tahoma" w:hAnsi="Tahoma" w:cs="Tahoma"/>
          <w:sz w:val="20"/>
          <w:szCs w:val="20"/>
        </w:rPr>
      </w:pPr>
    </w:p>
    <w:p w:rsidR="00CC1EA4" w:rsidRPr="00CC1EA4" w:rsidRDefault="00CC1EA4" w:rsidP="00CC1EA4">
      <w:pPr>
        <w:pStyle w:val="Prrafodelista"/>
        <w:numPr>
          <w:ilvl w:val="0"/>
          <w:numId w:val="26"/>
        </w:numPr>
        <w:tabs>
          <w:tab w:val="left" w:pos="426"/>
        </w:tabs>
        <w:ind w:left="1276" w:hanging="425"/>
        <w:jc w:val="both"/>
        <w:rPr>
          <w:rFonts w:ascii="Tahoma" w:hAnsi="Tahoma" w:cs="Tahoma"/>
          <w:sz w:val="20"/>
          <w:szCs w:val="20"/>
        </w:rPr>
      </w:pPr>
      <w:r w:rsidRPr="00CC1EA4">
        <w:rPr>
          <w:rFonts w:ascii="Tahoma" w:hAnsi="Tahoma" w:cs="Tahoma"/>
          <w:sz w:val="20"/>
          <w:szCs w:val="20"/>
        </w:rPr>
        <w:t>Que, tal afirmación queda debidamente acreditada, por cuanto el expediente legal del terreno ubicado en el distrito de San Martin de Pangoa se presentó –dentro del plazo establecido– ante SUNARP el 18 de marzo de 2010 a horas 11.27 am con el pago de S/. 398.00, con recibo № 2010-10-00001934,2010-10-00005487, documento que se presenta en la presenta instancia como medio probatorio.</w:t>
      </w:r>
    </w:p>
    <w:p w:rsidR="00CC1EA4" w:rsidRPr="00CC1EA4" w:rsidRDefault="00CC1EA4" w:rsidP="00CC1EA4">
      <w:pPr>
        <w:pStyle w:val="Prrafodelista"/>
        <w:rPr>
          <w:rFonts w:ascii="Tahoma" w:hAnsi="Tahoma" w:cs="Tahoma"/>
          <w:sz w:val="20"/>
          <w:szCs w:val="20"/>
        </w:rPr>
      </w:pPr>
    </w:p>
    <w:p w:rsidR="00CC1EA4" w:rsidRPr="00CC1EA4" w:rsidRDefault="00CC1EA4" w:rsidP="00CC1EA4">
      <w:pPr>
        <w:pStyle w:val="Prrafodelista"/>
        <w:numPr>
          <w:ilvl w:val="0"/>
          <w:numId w:val="26"/>
        </w:numPr>
        <w:tabs>
          <w:tab w:val="left" w:pos="426"/>
        </w:tabs>
        <w:ind w:left="1276" w:hanging="425"/>
        <w:jc w:val="both"/>
        <w:rPr>
          <w:rFonts w:ascii="Tahoma" w:hAnsi="Tahoma" w:cs="Tahoma"/>
          <w:sz w:val="20"/>
          <w:szCs w:val="20"/>
        </w:rPr>
      </w:pPr>
      <w:r w:rsidRPr="00CC1EA4">
        <w:rPr>
          <w:rFonts w:ascii="Tahoma" w:hAnsi="Tahoma" w:cs="Tahoma"/>
          <w:color w:val="000000"/>
          <w:sz w:val="20"/>
          <w:szCs w:val="20"/>
        </w:rPr>
        <w:t>Asimismo, respecto a la inscripción del terreno ubicado en el distrito de P</w:t>
      </w:r>
      <w:r w:rsidRPr="00CC1EA4">
        <w:rPr>
          <w:rFonts w:ascii="Tahoma" w:hAnsi="Tahoma" w:cs="Tahoma"/>
          <w:sz w:val="20"/>
          <w:szCs w:val="20"/>
        </w:rPr>
        <w:t>ichanaki</w:t>
      </w:r>
      <w:r w:rsidRPr="00CC1EA4">
        <w:rPr>
          <w:rFonts w:ascii="Tahoma" w:hAnsi="Tahoma" w:cs="Tahoma"/>
          <w:color w:val="000000"/>
          <w:sz w:val="20"/>
          <w:szCs w:val="20"/>
        </w:rPr>
        <w:t>, cabe precisar, que el expediente respectivo obraba en los Registros Públicos, faltándole sólo el pago, y no se podía presentar o reingresar un expediente sobre otro que ya estaba en trámite en los Registros Públicos, siendo que sólo debía esperarse observaciones u otros para su respectiva subsanación o posterior reingreso.</w:t>
      </w:r>
    </w:p>
    <w:p w:rsidR="00CC1EA4" w:rsidRPr="00CC1EA4" w:rsidRDefault="00CC1EA4" w:rsidP="00CC1EA4">
      <w:pPr>
        <w:pStyle w:val="Prrafodelista"/>
        <w:rPr>
          <w:rFonts w:ascii="Tahoma" w:hAnsi="Tahoma" w:cs="Tahoma"/>
          <w:sz w:val="20"/>
          <w:szCs w:val="20"/>
        </w:rPr>
      </w:pPr>
    </w:p>
    <w:p w:rsidR="00CC1EA4" w:rsidRPr="00CC1EA4" w:rsidRDefault="00CC1EA4" w:rsidP="00CC1EA4">
      <w:pPr>
        <w:pStyle w:val="Prrafodelista"/>
        <w:numPr>
          <w:ilvl w:val="0"/>
          <w:numId w:val="26"/>
        </w:numPr>
        <w:tabs>
          <w:tab w:val="left" w:pos="426"/>
        </w:tabs>
        <w:ind w:left="1276" w:hanging="425"/>
        <w:jc w:val="both"/>
        <w:rPr>
          <w:rFonts w:ascii="Tahoma" w:hAnsi="Tahoma" w:cs="Tahoma"/>
          <w:sz w:val="20"/>
          <w:szCs w:val="20"/>
        </w:rPr>
      </w:pPr>
      <w:r w:rsidRPr="00CC1EA4">
        <w:rPr>
          <w:rFonts w:ascii="Tahoma" w:hAnsi="Tahoma" w:cs="Tahoma"/>
          <w:sz w:val="20"/>
          <w:szCs w:val="20"/>
        </w:rPr>
        <w:t>Por último, cabe mencionar que los expedientes legales de los terrenos ubicados en los distritos de San Martin de Pangoa y Pichanaki se presentaron ante los Registros Públicos dentro del plazo contractual, además de que éstos ya se encuentran con inscripción definitiva de los títulos a favor de la Entidad.</w:t>
      </w:r>
    </w:p>
    <w:p w:rsidR="00CC1EA4" w:rsidRPr="00CC1EA4" w:rsidRDefault="00CC1EA4" w:rsidP="00CC1EA4">
      <w:pPr>
        <w:pStyle w:val="Prrafodelista"/>
        <w:tabs>
          <w:tab w:val="left" w:pos="426"/>
        </w:tabs>
        <w:ind w:left="1276"/>
        <w:rPr>
          <w:rFonts w:ascii="Tahoma" w:hAnsi="Tahoma" w:cs="Tahoma"/>
          <w:sz w:val="20"/>
          <w:szCs w:val="20"/>
        </w:rPr>
      </w:pPr>
      <w:r w:rsidRPr="00CC1EA4">
        <w:rPr>
          <w:rFonts w:ascii="Tahoma" w:hAnsi="Tahoma" w:cs="Tahoma"/>
          <w:sz w:val="20"/>
          <w:szCs w:val="20"/>
          <w:lang w:val="es-ES_tradnl"/>
        </w:rPr>
        <w:t xml:space="preserve"> </w:t>
      </w:r>
      <w:r w:rsidRPr="00CC1EA4">
        <w:rPr>
          <w:rFonts w:ascii="Tahoma" w:hAnsi="Tahoma" w:cs="Tahoma"/>
          <w:color w:val="000000"/>
          <w:sz w:val="20"/>
          <w:szCs w:val="20"/>
        </w:rPr>
        <w:t>(sic)</w:t>
      </w:r>
    </w:p>
    <w:p w:rsidR="00CC1EA4" w:rsidRPr="00CC1EA4" w:rsidRDefault="00CC1EA4" w:rsidP="00CC1EA4">
      <w:pPr>
        <w:pStyle w:val="Prrafodelista"/>
        <w:rPr>
          <w:rFonts w:ascii="Tahoma" w:hAnsi="Tahoma" w:cs="Tahoma"/>
          <w:color w:val="000000"/>
          <w:sz w:val="20"/>
          <w:szCs w:val="20"/>
        </w:rPr>
      </w:pPr>
    </w:p>
    <w:p w:rsidR="00CC1EA4" w:rsidRPr="00CC1EA4" w:rsidRDefault="00CC1EA4" w:rsidP="00CC1EA4">
      <w:pPr>
        <w:pStyle w:val="Prrafodelista"/>
        <w:numPr>
          <w:ilvl w:val="0"/>
          <w:numId w:val="5"/>
        </w:numPr>
        <w:tabs>
          <w:tab w:val="num" w:pos="567"/>
        </w:tabs>
        <w:ind w:left="567" w:hanging="567"/>
        <w:contextualSpacing w:val="0"/>
        <w:jc w:val="both"/>
        <w:rPr>
          <w:rFonts w:ascii="Tahoma" w:hAnsi="Tahoma" w:cs="Tahoma"/>
          <w:sz w:val="20"/>
          <w:szCs w:val="20"/>
        </w:rPr>
      </w:pPr>
      <w:r w:rsidRPr="00CC1EA4">
        <w:rPr>
          <w:rFonts w:ascii="Tahoma" w:hAnsi="Tahoma" w:cs="Tahoma"/>
          <w:sz w:val="20"/>
          <w:szCs w:val="20"/>
        </w:rPr>
        <w:t>De lo expuesto, resulta conveniente emitir pronunciamiento respecto de cada uno de los cuestionamientos planteados en el recurso que nos ocupa</w:t>
      </w:r>
      <w:r w:rsidRPr="00CC1EA4">
        <w:rPr>
          <w:rStyle w:val="Refdenotaalpie"/>
          <w:rFonts w:ascii="Tahoma" w:hAnsi="Tahoma" w:cs="Tahoma"/>
          <w:sz w:val="20"/>
          <w:szCs w:val="20"/>
        </w:rPr>
        <w:footnoteReference w:id="5"/>
      </w:r>
      <w:r w:rsidRPr="00CC1EA4">
        <w:rPr>
          <w:rFonts w:ascii="Tahoma" w:hAnsi="Tahoma" w:cs="Tahoma"/>
          <w:sz w:val="20"/>
          <w:szCs w:val="20"/>
        </w:rPr>
        <w:t xml:space="preserve"> y verificar si se ha aportado nuevos elementos de juicio que permitan al Tribunal modificar la decisión que adoptó en la resolución recurrida</w:t>
      </w:r>
      <w:r w:rsidRPr="00CC1EA4">
        <w:rPr>
          <w:rStyle w:val="Refdenotaalpie"/>
          <w:rFonts w:ascii="Tahoma" w:hAnsi="Tahoma" w:cs="Tahoma"/>
          <w:sz w:val="20"/>
          <w:szCs w:val="20"/>
        </w:rPr>
        <w:footnoteReference w:id="6"/>
      </w:r>
      <w:r w:rsidRPr="00CC1EA4">
        <w:rPr>
          <w:rFonts w:ascii="Tahoma" w:hAnsi="Tahoma" w:cs="Tahoma"/>
          <w:sz w:val="20"/>
          <w:szCs w:val="20"/>
        </w:rPr>
        <w:t xml:space="preserve">. </w:t>
      </w:r>
    </w:p>
    <w:p w:rsidR="00CC1EA4" w:rsidRPr="00CC1EA4" w:rsidRDefault="00CC1EA4" w:rsidP="00CC1EA4">
      <w:pPr>
        <w:pStyle w:val="Prrafodelista"/>
        <w:ind w:left="567"/>
        <w:rPr>
          <w:rFonts w:ascii="Tahoma" w:hAnsi="Tahoma" w:cs="Tahoma"/>
          <w:sz w:val="20"/>
          <w:szCs w:val="20"/>
        </w:rPr>
      </w:pPr>
    </w:p>
    <w:p w:rsidR="00CC1EA4" w:rsidRPr="00CC1EA4" w:rsidRDefault="00CC1EA4" w:rsidP="00CC1EA4">
      <w:pPr>
        <w:pStyle w:val="Textoindependiente"/>
        <w:numPr>
          <w:ilvl w:val="0"/>
          <w:numId w:val="5"/>
        </w:numPr>
        <w:tabs>
          <w:tab w:val="num" w:pos="567"/>
        </w:tabs>
        <w:spacing w:after="0"/>
        <w:ind w:left="567" w:hanging="567"/>
        <w:jc w:val="both"/>
        <w:rPr>
          <w:rFonts w:ascii="Tahoma" w:hAnsi="Tahoma" w:cs="Tahoma"/>
          <w:sz w:val="20"/>
          <w:szCs w:val="20"/>
        </w:rPr>
      </w:pPr>
      <w:r w:rsidRPr="00CC1EA4">
        <w:rPr>
          <w:rFonts w:ascii="Tahoma" w:hAnsi="Tahoma" w:cs="Tahoma"/>
          <w:sz w:val="20"/>
          <w:szCs w:val="20"/>
        </w:rPr>
        <w:t>De manera previa, para el análisis del asunto de fondo, debe tenerse en cuenta que a través de la Resolución № 1063-2011-TC-S1 el Tribunal impuso al Contratista sanción administrativa de inhabilitación temporal en sus derechos para participar en procesos de selección y contratar con el Estado, por el periodo de doce (12) meses, al haberse determinado su responsabilidad en la comisión de la infracción tipificada en el literal b) del numeral 51.1 del artículo 51 de la Ley.</w:t>
      </w:r>
    </w:p>
    <w:p w:rsidR="00CC1EA4" w:rsidRPr="00CC1EA4" w:rsidRDefault="00CC1EA4" w:rsidP="00CC1EA4">
      <w:pPr>
        <w:pStyle w:val="Prrafodelista"/>
        <w:rPr>
          <w:rFonts w:ascii="Tahoma" w:hAnsi="Tahoma" w:cs="Tahoma"/>
          <w:sz w:val="20"/>
          <w:szCs w:val="20"/>
          <w:shd w:val="clear" w:color="auto" w:fill="FFFFFF"/>
        </w:rPr>
      </w:pPr>
    </w:p>
    <w:p w:rsidR="00EF150F" w:rsidRDefault="00CC1EA4" w:rsidP="00EF150F">
      <w:pPr>
        <w:pStyle w:val="Textoindependiente"/>
        <w:numPr>
          <w:ilvl w:val="0"/>
          <w:numId w:val="5"/>
        </w:numPr>
        <w:tabs>
          <w:tab w:val="num" w:pos="567"/>
        </w:tabs>
        <w:spacing w:after="0"/>
        <w:ind w:left="567" w:hanging="567"/>
        <w:jc w:val="both"/>
        <w:rPr>
          <w:rFonts w:ascii="Tahoma" w:hAnsi="Tahoma" w:cs="Tahoma"/>
          <w:sz w:val="20"/>
          <w:szCs w:val="20"/>
        </w:rPr>
      </w:pPr>
      <w:r w:rsidRPr="00CC1EA4">
        <w:rPr>
          <w:rFonts w:ascii="Tahoma" w:hAnsi="Tahoma" w:cs="Tahoma"/>
          <w:sz w:val="20"/>
          <w:szCs w:val="20"/>
          <w:shd w:val="clear" w:color="auto" w:fill="FFFFFF"/>
        </w:rPr>
        <w:t xml:space="preserve">En dicha oportunidad, el Tribunal determinó que el Contratista no tomó la debida diligencia ni las precauciones del caso para cumplir con sus obligaciones contractuales y que por lo tanto éste no acreditó ninguna causa justificante por la cual </w:t>
      </w:r>
      <w:r w:rsidRPr="00CC1EA4">
        <w:rPr>
          <w:rFonts w:ascii="Tahoma" w:hAnsi="Tahoma" w:cs="Tahoma"/>
          <w:sz w:val="20"/>
          <w:szCs w:val="20"/>
        </w:rPr>
        <w:t>no cumplió con el servicio contratado</w:t>
      </w:r>
      <w:r w:rsidRPr="00CC1EA4">
        <w:rPr>
          <w:rFonts w:ascii="Tahoma" w:hAnsi="Tahoma" w:cs="Tahoma"/>
          <w:sz w:val="20"/>
          <w:szCs w:val="20"/>
          <w:shd w:val="clear" w:color="auto" w:fill="FFFFFF"/>
        </w:rPr>
        <w:t xml:space="preserve">, ni existía una demostración convincente y clara que ello haya sido </w:t>
      </w:r>
      <w:r w:rsidRPr="00CC1EA4">
        <w:rPr>
          <w:rFonts w:ascii="Tahoma" w:hAnsi="Tahoma" w:cs="Tahoma"/>
          <w:sz w:val="20"/>
          <w:szCs w:val="20"/>
          <w:shd w:val="clear" w:color="auto" w:fill="FFFFFF"/>
        </w:rPr>
        <w:lastRenderedPageBreak/>
        <w:t>producto de un caso fortuito o fuerza mayor, por lo que se concluyó que la resolución del contrato había sido responsabilidad del Contratista.</w:t>
      </w:r>
    </w:p>
    <w:p w:rsidR="00EF150F" w:rsidRDefault="00EF150F" w:rsidP="00EF150F">
      <w:pPr>
        <w:pStyle w:val="Prrafodelista"/>
        <w:rPr>
          <w:rFonts w:ascii="Tahoma" w:hAnsi="Tahoma" w:cs="Tahoma"/>
          <w:sz w:val="20"/>
          <w:szCs w:val="20"/>
        </w:rPr>
      </w:pPr>
    </w:p>
    <w:p w:rsidR="00EF150F" w:rsidRDefault="00CC1EA4" w:rsidP="00EF150F">
      <w:pPr>
        <w:pStyle w:val="Textoindependiente"/>
        <w:spacing w:after="0"/>
        <w:ind w:left="567"/>
        <w:jc w:val="both"/>
        <w:rPr>
          <w:rFonts w:ascii="Tahoma" w:hAnsi="Tahoma" w:cs="Tahoma"/>
          <w:sz w:val="20"/>
          <w:szCs w:val="20"/>
        </w:rPr>
      </w:pPr>
      <w:r w:rsidRPr="00EF150F">
        <w:rPr>
          <w:rFonts w:ascii="Tahoma" w:hAnsi="Tahoma" w:cs="Tahoma"/>
          <w:sz w:val="20"/>
          <w:szCs w:val="20"/>
        </w:rPr>
        <w:t xml:space="preserve">En efecto, durante el trámite del presente procedimiento administrativo sancionador, este Colegiado verificó que </w:t>
      </w:r>
      <w:r w:rsidRPr="00EF150F">
        <w:rPr>
          <w:rFonts w:ascii="Tahoma" w:hAnsi="Tahoma" w:cs="Tahoma"/>
          <w:sz w:val="20"/>
          <w:szCs w:val="20"/>
          <w:lang w:val="es-MX"/>
        </w:rPr>
        <w:t>a pesar de haberse comprometido con el saneamiento físico legal de los terrenos de la Entidad</w:t>
      </w:r>
      <w:r w:rsidRPr="00EF150F">
        <w:rPr>
          <w:rFonts w:ascii="Tahoma" w:hAnsi="Tahoma" w:cs="Tahoma"/>
          <w:bCs/>
          <w:sz w:val="20"/>
          <w:szCs w:val="20"/>
        </w:rPr>
        <w:t xml:space="preserve">, el Contratista </w:t>
      </w:r>
      <w:r w:rsidRPr="00EF150F">
        <w:rPr>
          <w:rFonts w:ascii="Tahoma" w:hAnsi="Tahoma" w:cs="Tahoma"/>
          <w:sz w:val="20"/>
          <w:szCs w:val="20"/>
          <w:lang w:val="es-MX"/>
        </w:rPr>
        <w:t>no cumplió con presentar los expedientes legales –ante los Registros Públicos– para la inscripción definitiva de los terrenos ubicados en los distritos de San Martin de Pangoa y Pichanaki</w:t>
      </w:r>
      <w:r w:rsidRPr="00EF150F">
        <w:rPr>
          <w:rFonts w:ascii="Tahoma" w:hAnsi="Tahoma" w:cs="Tahoma"/>
          <w:sz w:val="20"/>
          <w:szCs w:val="20"/>
        </w:rPr>
        <w:t xml:space="preserve">, </w:t>
      </w:r>
      <w:r w:rsidRPr="00EF150F">
        <w:rPr>
          <w:rFonts w:ascii="Tahoma" w:hAnsi="Tahoma" w:cs="Tahoma"/>
          <w:sz w:val="20"/>
          <w:szCs w:val="20"/>
          <w:lang w:val="es-MX"/>
        </w:rPr>
        <w:t>toda vez que no obraba en autos, documento alguno que éste haya presentado ante dicha institución registral</w:t>
      </w:r>
      <w:r w:rsidRPr="00EF150F">
        <w:rPr>
          <w:rFonts w:ascii="Tahoma" w:hAnsi="Tahoma" w:cs="Tahoma"/>
          <w:sz w:val="20"/>
          <w:szCs w:val="20"/>
        </w:rPr>
        <w:t xml:space="preserve">, hecho fáctico que corroboraría que el Contratista de manera oportuna cumplió con sus obligaciones contractuales, </w:t>
      </w:r>
      <w:r w:rsidRPr="00EF150F">
        <w:rPr>
          <w:rFonts w:ascii="Tahoma" w:hAnsi="Tahoma" w:cs="Tahoma"/>
          <w:sz w:val="20"/>
          <w:szCs w:val="20"/>
          <w:lang w:val="es-MX"/>
        </w:rPr>
        <w:t xml:space="preserve">conforme lo establecían </w:t>
      </w:r>
      <w:r w:rsidRPr="00EF150F">
        <w:rPr>
          <w:rFonts w:ascii="Tahoma" w:hAnsi="Tahoma" w:cs="Tahoma"/>
          <w:sz w:val="20"/>
          <w:szCs w:val="20"/>
        </w:rPr>
        <w:t>las Bases Administrativas, la oferta ganadora y los documentos derivados del proceso de selección que establecían las obligaciones para las partes.</w:t>
      </w:r>
    </w:p>
    <w:p w:rsidR="00EF150F" w:rsidRDefault="00EF150F" w:rsidP="00EF150F">
      <w:pPr>
        <w:pStyle w:val="Prrafodelista"/>
        <w:rPr>
          <w:rFonts w:ascii="Tahoma" w:hAnsi="Tahoma" w:cs="Tahoma"/>
          <w:sz w:val="20"/>
          <w:szCs w:val="20"/>
        </w:rPr>
      </w:pPr>
    </w:p>
    <w:p w:rsidR="00CC1EA4" w:rsidRPr="00EF150F" w:rsidRDefault="00CC1EA4" w:rsidP="00EF150F">
      <w:pPr>
        <w:pStyle w:val="Textoindependiente"/>
        <w:numPr>
          <w:ilvl w:val="0"/>
          <w:numId w:val="5"/>
        </w:numPr>
        <w:tabs>
          <w:tab w:val="num" w:pos="567"/>
        </w:tabs>
        <w:spacing w:after="0"/>
        <w:ind w:left="567" w:hanging="567"/>
        <w:jc w:val="both"/>
        <w:rPr>
          <w:rFonts w:ascii="Tahoma" w:hAnsi="Tahoma" w:cs="Tahoma"/>
          <w:sz w:val="20"/>
          <w:szCs w:val="20"/>
        </w:rPr>
      </w:pPr>
      <w:r w:rsidRPr="00EF150F">
        <w:rPr>
          <w:rFonts w:ascii="Tahoma" w:hAnsi="Tahoma" w:cs="Tahoma"/>
          <w:sz w:val="20"/>
          <w:szCs w:val="20"/>
        </w:rPr>
        <w:t xml:space="preserve">De esta manera, la sanción impuesta contra el Contratista buscó cautelar la diligencia y seriedad con que éste debió actuar dentro del marco de la normativa de la materia, puesto que cada contratista asume la responsabilidad de </w:t>
      </w:r>
      <w:r w:rsidRPr="00EF150F">
        <w:rPr>
          <w:rFonts w:ascii="Tahoma" w:hAnsi="Tahoma" w:cs="Tahoma"/>
          <w:sz w:val="20"/>
          <w:szCs w:val="20"/>
          <w:shd w:val="clear" w:color="auto" w:fill="FFFFFF"/>
        </w:rPr>
        <w:t xml:space="preserve">cumplir con sus obligaciones contractuales frente a la Entidad, </w:t>
      </w:r>
      <w:r w:rsidRPr="00EF150F">
        <w:rPr>
          <w:rFonts w:ascii="Tahoma" w:hAnsi="Tahoma" w:cs="Tahoma"/>
          <w:sz w:val="20"/>
          <w:szCs w:val="20"/>
        </w:rPr>
        <w:t xml:space="preserve">de manera que ésta última cumpla con sus metas institucionales dentro del plazo previsto y sin mayores inconvenientes ni dilaciones, con los objetivos que se hubiera propuesto al convocar el proceso de selección. </w:t>
      </w:r>
    </w:p>
    <w:p w:rsidR="00CC1EA4" w:rsidRPr="00CC1EA4" w:rsidRDefault="00CC1EA4" w:rsidP="00CC1EA4">
      <w:pPr>
        <w:pStyle w:val="Textoindependiente"/>
        <w:ind w:left="567"/>
        <w:rPr>
          <w:rFonts w:ascii="Tahoma" w:hAnsi="Tahoma" w:cs="Tahoma"/>
          <w:sz w:val="20"/>
          <w:szCs w:val="20"/>
        </w:rPr>
      </w:pPr>
    </w:p>
    <w:p w:rsidR="00CC1EA4" w:rsidRPr="00CC1EA4" w:rsidRDefault="00CC1EA4" w:rsidP="00CC1EA4">
      <w:pPr>
        <w:pStyle w:val="Textoindependiente"/>
        <w:numPr>
          <w:ilvl w:val="0"/>
          <w:numId w:val="5"/>
        </w:numPr>
        <w:tabs>
          <w:tab w:val="num" w:pos="567"/>
        </w:tabs>
        <w:spacing w:after="0"/>
        <w:ind w:left="567" w:hanging="567"/>
        <w:jc w:val="both"/>
        <w:rPr>
          <w:rFonts w:ascii="Tahoma" w:hAnsi="Tahoma" w:cs="Tahoma"/>
          <w:color w:val="000000"/>
          <w:sz w:val="20"/>
          <w:szCs w:val="20"/>
        </w:rPr>
      </w:pPr>
      <w:r w:rsidRPr="00CC1EA4">
        <w:rPr>
          <w:rFonts w:ascii="Tahoma" w:hAnsi="Tahoma" w:cs="Tahoma"/>
          <w:color w:val="000000"/>
          <w:sz w:val="20"/>
          <w:szCs w:val="20"/>
        </w:rPr>
        <w:t xml:space="preserve">Ya en el curso del presente recurso, el Contratista ha presentado nueva documentación mediante la cual intenta sostener que –contrario a lo indicado en la Resolución impugnada– si tuvo la suficiente diligencia para cumplir con su obligación contractual, ello en la medida, que a través de los documentos que aportaba como medio probatorio acreditaría que si presento ante los Registros Públicos los expedientes legales </w:t>
      </w:r>
      <w:r w:rsidRPr="00CC1EA4">
        <w:rPr>
          <w:rFonts w:ascii="Tahoma" w:hAnsi="Tahoma" w:cs="Tahoma"/>
          <w:bCs/>
          <w:sz w:val="20"/>
          <w:szCs w:val="20"/>
        </w:rPr>
        <w:t xml:space="preserve">para la inscripción definitiva de los terrenos ubicados en los distritos de San Martin de Pangoa y Pichanaki, tal como los establecían los términos de referencia de las Bases de la </w:t>
      </w:r>
      <w:r w:rsidRPr="00CC1EA4">
        <w:rPr>
          <w:rFonts w:ascii="Tahoma" w:hAnsi="Tahoma" w:cs="Tahoma"/>
          <w:sz w:val="20"/>
          <w:szCs w:val="20"/>
        </w:rPr>
        <w:t xml:space="preserve">Adjudicación de Menor Cuantía № 017-2009-CEP-CSJJU/PJ en </w:t>
      </w:r>
      <w:r w:rsidRPr="00CC1EA4">
        <w:rPr>
          <w:rFonts w:ascii="Tahoma" w:hAnsi="Tahoma" w:cs="Tahoma"/>
          <w:sz w:val="20"/>
          <w:szCs w:val="20"/>
          <w:lang w:val="es-MX"/>
        </w:rPr>
        <w:t>concordancia con la Cláusula Octava del Contrato № 035-2009-P-CSJJU/PJ.</w:t>
      </w:r>
    </w:p>
    <w:p w:rsidR="00CC1EA4" w:rsidRPr="00CC1EA4" w:rsidRDefault="00CC1EA4" w:rsidP="00CC1EA4">
      <w:pPr>
        <w:pStyle w:val="Prrafodelista"/>
        <w:rPr>
          <w:rFonts w:ascii="Tahoma" w:hAnsi="Tahoma" w:cs="Tahoma"/>
          <w:color w:val="000000"/>
          <w:sz w:val="20"/>
          <w:szCs w:val="20"/>
        </w:rPr>
      </w:pPr>
    </w:p>
    <w:p w:rsidR="00CC1EA4" w:rsidRPr="00CC1EA4" w:rsidRDefault="00CC1EA4" w:rsidP="00CC1EA4">
      <w:pPr>
        <w:pStyle w:val="Prrafodelista"/>
        <w:ind w:left="567"/>
        <w:rPr>
          <w:rFonts w:ascii="Tahoma" w:hAnsi="Tahoma" w:cs="Tahoma"/>
          <w:b/>
          <w:color w:val="000000"/>
          <w:sz w:val="20"/>
          <w:szCs w:val="20"/>
        </w:rPr>
      </w:pPr>
      <w:r w:rsidRPr="00CC1EA4">
        <w:rPr>
          <w:rFonts w:ascii="Tahoma" w:hAnsi="Tahoma" w:cs="Tahoma"/>
          <w:b/>
          <w:color w:val="000000"/>
          <w:sz w:val="20"/>
          <w:szCs w:val="20"/>
        </w:rPr>
        <w:t>Terrenos a Sanear del Distrito San Martin de Pangoa</w:t>
      </w:r>
    </w:p>
    <w:p w:rsidR="00CC1EA4" w:rsidRPr="00CC1EA4" w:rsidRDefault="00CC1EA4" w:rsidP="00CC1EA4">
      <w:pPr>
        <w:pStyle w:val="Prrafodelista"/>
        <w:rPr>
          <w:rFonts w:ascii="Tahoma" w:hAnsi="Tahoma" w:cs="Tahoma"/>
          <w:color w:val="000000"/>
          <w:sz w:val="20"/>
          <w:szCs w:val="20"/>
        </w:rPr>
      </w:pPr>
    </w:p>
    <w:p w:rsidR="00CC1EA4" w:rsidRPr="00CC1EA4" w:rsidRDefault="00CC1EA4" w:rsidP="00CC1EA4">
      <w:pPr>
        <w:pStyle w:val="Textoindependiente"/>
        <w:numPr>
          <w:ilvl w:val="0"/>
          <w:numId w:val="5"/>
        </w:numPr>
        <w:tabs>
          <w:tab w:val="num" w:pos="567"/>
        </w:tabs>
        <w:spacing w:after="0"/>
        <w:ind w:left="567" w:hanging="567"/>
        <w:jc w:val="both"/>
        <w:rPr>
          <w:rFonts w:ascii="Tahoma" w:hAnsi="Tahoma" w:cs="Tahoma"/>
          <w:bCs/>
          <w:sz w:val="20"/>
          <w:szCs w:val="20"/>
        </w:rPr>
      </w:pPr>
      <w:r w:rsidRPr="00CC1EA4">
        <w:rPr>
          <w:rFonts w:ascii="Tahoma" w:hAnsi="Tahoma" w:cs="Tahoma"/>
          <w:color w:val="000000"/>
          <w:sz w:val="20"/>
          <w:szCs w:val="20"/>
        </w:rPr>
        <w:t xml:space="preserve">Así, las cosas, fluye de la documentación obrante en autos, que el Contratista manifestó que el expediente legal del terreno ubicado </w:t>
      </w:r>
      <w:r w:rsidRPr="00CC1EA4">
        <w:rPr>
          <w:rFonts w:ascii="Tahoma" w:hAnsi="Tahoma" w:cs="Tahoma"/>
          <w:sz w:val="20"/>
          <w:szCs w:val="20"/>
        </w:rPr>
        <w:t>en el distrito de San Martin de Pangoa se presentó –dentro del plazo establecido en las Bases– ante la SUNARP el 18 de marzo de 2010 a horas 11.27 am con el pago de S/. 398.00. En atención a ello, el recurrente ha presentado copia autenticada ante fedatario de la Copia Literal del Centro Poblado San Martin de Pangoa, en la cual se verifica que la inscripción del mencionado terreno se realizó el 18 de marzo de 2010 a horas 11:27 am –véase el Asiento de Presentación № 2010-00001055–, luego del cual, la SUNARP procedió</w:t>
      </w:r>
      <w:r w:rsidRPr="00CC1EA4">
        <w:rPr>
          <w:rFonts w:ascii="Tahoma" w:hAnsi="Tahoma" w:cs="Tahoma"/>
          <w:bCs/>
          <w:sz w:val="20"/>
          <w:szCs w:val="20"/>
        </w:rPr>
        <w:t xml:space="preserve"> a inscribir definitivamente la propiedad a favor de la Entidad.</w:t>
      </w:r>
    </w:p>
    <w:p w:rsidR="00CC1EA4" w:rsidRPr="00CC1EA4" w:rsidRDefault="00CC1EA4" w:rsidP="00CC1EA4">
      <w:pPr>
        <w:pStyle w:val="Textoindependiente"/>
        <w:ind w:left="567"/>
        <w:rPr>
          <w:rFonts w:ascii="Tahoma" w:hAnsi="Tahoma" w:cs="Tahoma"/>
          <w:bCs/>
          <w:sz w:val="20"/>
          <w:szCs w:val="20"/>
        </w:rPr>
      </w:pPr>
    </w:p>
    <w:p w:rsidR="00CC1EA4" w:rsidRPr="00CC1EA4" w:rsidRDefault="00CC1EA4" w:rsidP="00CC1EA4">
      <w:pPr>
        <w:pStyle w:val="Textoindependiente"/>
        <w:numPr>
          <w:ilvl w:val="0"/>
          <w:numId w:val="5"/>
        </w:numPr>
        <w:tabs>
          <w:tab w:val="num" w:pos="567"/>
        </w:tabs>
        <w:spacing w:after="0"/>
        <w:ind w:left="567" w:hanging="567"/>
        <w:jc w:val="both"/>
        <w:rPr>
          <w:rFonts w:ascii="Tahoma" w:hAnsi="Tahoma" w:cs="Tahoma"/>
          <w:bCs/>
          <w:sz w:val="20"/>
          <w:szCs w:val="20"/>
        </w:rPr>
      </w:pPr>
      <w:r w:rsidRPr="00CC1EA4">
        <w:rPr>
          <w:rFonts w:ascii="Tahoma" w:hAnsi="Tahoma" w:cs="Tahoma"/>
          <w:color w:val="000000"/>
          <w:sz w:val="20"/>
          <w:szCs w:val="20"/>
        </w:rPr>
        <w:t xml:space="preserve">Tomando en consideración la nueva documentación presentada por el Contratista, puede advertirse que el Contratista </w:t>
      </w:r>
      <w:r w:rsidRPr="00CC1EA4">
        <w:rPr>
          <w:rFonts w:ascii="Tahoma" w:hAnsi="Tahoma" w:cs="Tahoma"/>
          <w:sz w:val="20"/>
          <w:szCs w:val="20"/>
          <w:lang w:val="es-MX"/>
        </w:rPr>
        <w:t xml:space="preserve">presentó el expediente legal del terreno ubicado en el distrito de San Martin de Pangoa ante los Registros Públicos, </w:t>
      </w:r>
      <w:r w:rsidRPr="00CC1EA4">
        <w:rPr>
          <w:rFonts w:ascii="Tahoma" w:hAnsi="Tahoma" w:cs="Tahoma"/>
          <w:sz w:val="20"/>
          <w:szCs w:val="20"/>
        </w:rPr>
        <w:t xml:space="preserve">en el plazo correspondiente; razón por la cual, </w:t>
      </w:r>
      <w:r w:rsidRPr="00CC1EA4">
        <w:rPr>
          <w:rFonts w:ascii="Tahoma" w:hAnsi="Tahoma" w:cs="Tahoma"/>
          <w:bCs/>
          <w:sz w:val="20"/>
          <w:szCs w:val="20"/>
        </w:rPr>
        <w:t xml:space="preserve">el requerimiento realizado por la Entidad al Contratista, a través de la </w:t>
      </w:r>
      <w:r w:rsidRPr="00CC1EA4">
        <w:rPr>
          <w:rFonts w:ascii="Tahoma" w:hAnsi="Tahoma" w:cs="Tahoma"/>
          <w:sz w:val="20"/>
          <w:szCs w:val="20"/>
        </w:rPr>
        <w:t xml:space="preserve">Carta Notarial № 001-2010-P-CSJJU/PJ diligenciada el 24 de marzo de 2010, para que </w:t>
      </w:r>
      <w:r w:rsidRPr="00CC1EA4">
        <w:rPr>
          <w:rFonts w:ascii="Tahoma" w:hAnsi="Tahoma" w:cs="Tahoma"/>
          <w:sz w:val="20"/>
          <w:szCs w:val="20"/>
        </w:rPr>
        <w:lastRenderedPageBreak/>
        <w:t xml:space="preserve">cumpla con la inscripción definitiva del mencionado terreno, conforme a las requerimientos técnicos de las Bases, no tenía fundamento fático ni legal, toda vez que este </w:t>
      </w:r>
      <w:r w:rsidRPr="00CC1EA4">
        <w:rPr>
          <w:rFonts w:ascii="Tahoma" w:hAnsi="Tahoma" w:cs="Tahoma"/>
          <w:color w:val="000000"/>
          <w:sz w:val="20"/>
          <w:szCs w:val="20"/>
        </w:rPr>
        <w:t xml:space="preserve">Colegiado ha podido verificar que el Contratista si cumplió con sus obligaciones dentro del plazo correspondiente. Y es que si bien éste terreno ubicado en el distrito de San Martin de Pangoa no estaba inscrito a favor de la Entidad, dicha obligación no le correspondía al Contratista en tanto que la misma se realizaría según los plazos de la </w:t>
      </w:r>
      <w:r w:rsidRPr="00CC1EA4">
        <w:rPr>
          <w:rFonts w:ascii="Tahoma" w:hAnsi="Tahoma" w:cs="Tahoma"/>
          <w:sz w:val="20"/>
          <w:szCs w:val="20"/>
        </w:rPr>
        <w:t>propia Institución Registral.</w:t>
      </w:r>
    </w:p>
    <w:p w:rsidR="00CC1EA4" w:rsidRPr="00CC1EA4" w:rsidRDefault="00CC1EA4" w:rsidP="00CC1EA4">
      <w:pPr>
        <w:pStyle w:val="Prrafodelista"/>
        <w:rPr>
          <w:rFonts w:ascii="Tahoma" w:hAnsi="Tahoma" w:cs="Tahoma"/>
          <w:sz w:val="20"/>
          <w:szCs w:val="20"/>
        </w:rPr>
      </w:pPr>
    </w:p>
    <w:p w:rsidR="00CC1EA4" w:rsidRPr="00CC1EA4" w:rsidRDefault="00CC1EA4" w:rsidP="00CC1EA4">
      <w:pPr>
        <w:pStyle w:val="Textoindependiente"/>
        <w:numPr>
          <w:ilvl w:val="0"/>
          <w:numId w:val="5"/>
        </w:numPr>
        <w:tabs>
          <w:tab w:val="num" w:pos="567"/>
        </w:tabs>
        <w:spacing w:after="0"/>
        <w:ind w:left="567" w:hanging="567"/>
        <w:jc w:val="both"/>
        <w:rPr>
          <w:rFonts w:ascii="Tahoma" w:hAnsi="Tahoma" w:cs="Tahoma"/>
          <w:bCs/>
          <w:sz w:val="20"/>
          <w:szCs w:val="20"/>
        </w:rPr>
      </w:pPr>
      <w:r w:rsidRPr="00CC1EA4">
        <w:rPr>
          <w:rFonts w:ascii="Tahoma" w:hAnsi="Tahoma" w:cs="Tahoma"/>
          <w:sz w:val="20"/>
          <w:szCs w:val="20"/>
        </w:rPr>
        <w:t xml:space="preserve">En ese sentido, la no inscripción definitiva del terreno ubicado en el distrito de </w:t>
      </w:r>
      <w:r w:rsidRPr="00CC1EA4">
        <w:rPr>
          <w:rFonts w:ascii="Tahoma" w:hAnsi="Tahoma" w:cs="Tahoma"/>
          <w:color w:val="000000"/>
          <w:sz w:val="20"/>
          <w:szCs w:val="20"/>
        </w:rPr>
        <w:t>San Martin de Pangoa</w:t>
      </w:r>
      <w:r w:rsidRPr="00CC1EA4">
        <w:rPr>
          <w:rFonts w:ascii="Tahoma" w:hAnsi="Tahoma" w:cs="Tahoma"/>
          <w:sz w:val="20"/>
          <w:szCs w:val="20"/>
        </w:rPr>
        <w:t xml:space="preserve"> en los registros Públicos no le resulta imputable al Contratista, ello además, en estricta observancia del </w:t>
      </w:r>
      <w:r w:rsidRPr="00CC1EA4">
        <w:rPr>
          <w:rFonts w:ascii="Tahoma" w:hAnsi="Tahoma" w:cs="Tahoma"/>
          <w:i/>
          <w:sz w:val="20"/>
          <w:szCs w:val="20"/>
        </w:rPr>
        <w:t>Principio de Tipicidad</w:t>
      </w:r>
      <w:r w:rsidRPr="00CC1EA4">
        <w:rPr>
          <w:rFonts w:ascii="Tahoma" w:hAnsi="Tahoma" w:cs="Tahoma"/>
          <w:sz w:val="20"/>
          <w:szCs w:val="20"/>
        </w:rPr>
        <w:t xml:space="preserve"> previsto en el artículo 230 de la Ley № 27444, del Procedimiento Administrativo General, en cuya virtud sólo constituyen conductas sancionables administrativamente las infracciones previstas expresamente en normas con rango de ley mediante su tipificación como tales, sin admitir interpretación extensiva o por analogía. Por lo tanto, resulta amparable el argumento esbozado por el Contratista respecto a este extremo del recurso de reconsideración.</w:t>
      </w:r>
    </w:p>
    <w:p w:rsidR="00CC1EA4" w:rsidRPr="00CC1EA4" w:rsidRDefault="00CC1EA4" w:rsidP="00CC1EA4">
      <w:pPr>
        <w:pStyle w:val="Prrafodelista"/>
        <w:rPr>
          <w:rFonts w:ascii="Tahoma" w:hAnsi="Tahoma" w:cs="Tahoma"/>
          <w:bCs/>
          <w:sz w:val="20"/>
          <w:szCs w:val="20"/>
        </w:rPr>
      </w:pPr>
    </w:p>
    <w:p w:rsidR="00CC1EA4" w:rsidRPr="00CC1EA4" w:rsidRDefault="00CC1EA4" w:rsidP="00CC1EA4">
      <w:pPr>
        <w:pStyle w:val="Prrafodelista"/>
        <w:ind w:left="567"/>
        <w:rPr>
          <w:rFonts w:ascii="Tahoma" w:hAnsi="Tahoma" w:cs="Tahoma"/>
          <w:b/>
          <w:bCs/>
          <w:sz w:val="20"/>
          <w:szCs w:val="20"/>
          <w:lang w:val="es-PE"/>
        </w:rPr>
      </w:pPr>
      <w:r w:rsidRPr="00CC1EA4">
        <w:rPr>
          <w:rFonts w:ascii="Tahoma" w:hAnsi="Tahoma" w:cs="Tahoma"/>
          <w:b/>
          <w:bCs/>
          <w:sz w:val="20"/>
          <w:szCs w:val="20"/>
          <w:lang w:val="es-PE"/>
        </w:rPr>
        <w:t>Terrenos a Sanear del Distrito Pichanaki</w:t>
      </w:r>
    </w:p>
    <w:p w:rsidR="00CC1EA4" w:rsidRPr="00CC1EA4" w:rsidRDefault="00CC1EA4" w:rsidP="00CC1EA4">
      <w:pPr>
        <w:pStyle w:val="Prrafodelista"/>
        <w:rPr>
          <w:rFonts w:ascii="Tahoma" w:hAnsi="Tahoma" w:cs="Tahoma"/>
          <w:bCs/>
          <w:sz w:val="20"/>
          <w:szCs w:val="20"/>
          <w:lang w:val="es-PE"/>
        </w:rPr>
      </w:pPr>
    </w:p>
    <w:p w:rsidR="00EF150F" w:rsidRDefault="00CC1EA4" w:rsidP="00EF150F">
      <w:pPr>
        <w:pStyle w:val="Textoindependiente"/>
        <w:numPr>
          <w:ilvl w:val="0"/>
          <w:numId w:val="5"/>
        </w:numPr>
        <w:tabs>
          <w:tab w:val="num" w:pos="567"/>
        </w:tabs>
        <w:spacing w:after="0"/>
        <w:ind w:left="567" w:hanging="567"/>
        <w:jc w:val="both"/>
        <w:rPr>
          <w:rFonts w:ascii="Tahoma" w:hAnsi="Tahoma" w:cs="Tahoma"/>
          <w:color w:val="000000"/>
          <w:sz w:val="20"/>
          <w:szCs w:val="20"/>
        </w:rPr>
      </w:pPr>
      <w:r w:rsidRPr="00CC1EA4">
        <w:rPr>
          <w:rFonts w:ascii="Tahoma" w:hAnsi="Tahoma" w:cs="Tahoma"/>
          <w:bCs/>
          <w:sz w:val="20"/>
          <w:szCs w:val="20"/>
        </w:rPr>
        <w:t xml:space="preserve">Por otro lado, el Contratista indicó que el expediente legal para la inscripción definitiva del terreno ubicado en el distrito </w:t>
      </w:r>
      <w:r w:rsidRPr="00CC1EA4">
        <w:rPr>
          <w:rFonts w:ascii="Tahoma" w:hAnsi="Tahoma" w:cs="Tahoma"/>
          <w:color w:val="000000"/>
          <w:sz w:val="20"/>
          <w:szCs w:val="20"/>
        </w:rPr>
        <w:t>de P</w:t>
      </w:r>
      <w:r w:rsidRPr="00CC1EA4">
        <w:rPr>
          <w:rFonts w:ascii="Tahoma" w:hAnsi="Tahoma" w:cs="Tahoma"/>
          <w:sz w:val="20"/>
          <w:szCs w:val="20"/>
        </w:rPr>
        <w:t>ichanaki</w:t>
      </w:r>
      <w:r w:rsidRPr="00CC1EA4">
        <w:rPr>
          <w:rFonts w:ascii="Tahoma" w:hAnsi="Tahoma" w:cs="Tahoma"/>
          <w:color w:val="000000"/>
          <w:sz w:val="20"/>
          <w:szCs w:val="20"/>
        </w:rPr>
        <w:t xml:space="preserve">, se encontraba en los Registros Públicos, faltándole sólo el pago, obligación que correspondía a la Entidad y que fuera advertido a través de la Carta Notarial s/n 26 de marzo de 2010, dicho lo cual, el Contratista añadió que la Entidad cumplió con hacer efectivo el pago, luego del cual, la SUNARP dentro de sus propios plazos, </w:t>
      </w:r>
      <w:r w:rsidRPr="00CC1EA4">
        <w:rPr>
          <w:rFonts w:ascii="Tahoma" w:hAnsi="Tahoma" w:cs="Tahoma"/>
          <w:sz w:val="20"/>
          <w:szCs w:val="20"/>
        </w:rPr>
        <w:t xml:space="preserve">inscribió el dominio y la edificación del predio, de propiedad de la Entidad en Registros Públicos. </w:t>
      </w:r>
    </w:p>
    <w:p w:rsidR="00EF150F" w:rsidRDefault="00EF150F" w:rsidP="00EF150F">
      <w:pPr>
        <w:pStyle w:val="Textoindependiente"/>
        <w:spacing w:after="0"/>
        <w:ind w:left="567"/>
        <w:jc w:val="both"/>
        <w:rPr>
          <w:rFonts w:ascii="Tahoma" w:hAnsi="Tahoma" w:cs="Tahoma"/>
          <w:color w:val="000000"/>
          <w:sz w:val="20"/>
          <w:szCs w:val="20"/>
        </w:rPr>
      </w:pPr>
    </w:p>
    <w:p w:rsidR="00EF150F" w:rsidRPr="00EF150F" w:rsidRDefault="00CC1EA4" w:rsidP="00EF150F">
      <w:pPr>
        <w:pStyle w:val="Textoindependiente"/>
        <w:numPr>
          <w:ilvl w:val="0"/>
          <w:numId w:val="5"/>
        </w:numPr>
        <w:tabs>
          <w:tab w:val="num" w:pos="567"/>
        </w:tabs>
        <w:spacing w:after="0"/>
        <w:ind w:left="567" w:hanging="567"/>
        <w:jc w:val="both"/>
        <w:rPr>
          <w:rFonts w:ascii="Tahoma" w:hAnsi="Tahoma" w:cs="Tahoma"/>
          <w:color w:val="000000"/>
          <w:sz w:val="20"/>
          <w:szCs w:val="20"/>
        </w:rPr>
      </w:pPr>
      <w:r w:rsidRPr="00EF150F">
        <w:rPr>
          <w:rFonts w:ascii="Tahoma" w:hAnsi="Tahoma" w:cs="Tahoma"/>
          <w:color w:val="000000"/>
          <w:sz w:val="20"/>
          <w:szCs w:val="20"/>
        </w:rPr>
        <w:t xml:space="preserve">En principio, </w:t>
      </w:r>
      <w:r w:rsidRPr="00EF150F">
        <w:rPr>
          <w:rFonts w:ascii="Tahoma" w:hAnsi="Tahoma" w:cs="Tahoma"/>
          <w:sz w:val="20"/>
          <w:szCs w:val="20"/>
        </w:rPr>
        <w:t xml:space="preserve">para el análisis del argumento esbozado por el recurrente, cabe recordarle </w:t>
      </w:r>
      <w:r w:rsidRPr="00EF150F">
        <w:rPr>
          <w:rFonts w:ascii="Tahoma" w:hAnsi="Tahoma" w:cs="Tahoma"/>
          <w:color w:val="000000"/>
          <w:sz w:val="20"/>
          <w:szCs w:val="20"/>
        </w:rPr>
        <w:t xml:space="preserve">que el Contratista estaba </w:t>
      </w:r>
      <w:r w:rsidRPr="00EF150F">
        <w:rPr>
          <w:rFonts w:ascii="Tahoma" w:hAnsi="Tahoma" w:cs="Tahoma"/>
          <w:sz w:val="20"/>
          <w:szCs w:val="20"/>
          <w:lang w:val="es-MX"/>
        </w:rPr>
        <w:t xml:space="preserve">obligado no sólo a cumplir con la entrega de los expedientes </w:t>
      </w:r>
      <w:r w:rsidRPr="00EF150F">
        <w:rPr>
          <w:rFonts w:ascii="Tahoma" w:hAnsi="Tahoma" w:cs="Tahoma"/>
          <w:bCs/>
          <w:sz w:val="20"/>
          <w:szCs w:val="20"/>
        </w:rPr>
        <w:t xml:space="preserve">legales ante la SUNARP para la inscripción definitiva de los terrenos de la Entidad </w:t>
      </w:r>
      <w:r w:rsidRPr="00EF150F">
        <w:rPr>
          <w:rFonts w:ascii="Tahoma" w:hAnsi="Tahoma" w:cs="Tahoma"/>
          <w:sz w:val="20"/>
          <w:szCs w:val="20"/>
          <w:lang w:val="es-MX"/>
        </w:rPr>
        <w:t xml:space="preserve">sino que éste debía realizar todos los actos necesarios </w:t>
      </w:r>
      <w:r w:rsidRPr="00EF150F">
        <w:rPr>
          <w:rFonts w:ascii="Tahoma" w:hAnsi="Tahoma" w:cs="Tahoma"/>
          <w:sz w:val="20"/>
          <w:szCs w:val="20"/>
        </w:rPr>
        <w:t xml:space="preserve">para el </w:t>
      </w:r>
      <w:r w:rsidRPr="00EF150F">
        <w:rPr>
          <w:rFonts w:ascii="Tahoma" w:hAnsi="Tahoma" w:cs="Tahoma"/>
          <w:color w:val="000000" w:themeColor="text1"/>
          <w:sz w:val="20"/>
          <w:szCs w:val="20"/>
          <w:u w:val="single"/>
        </w:rPr>
        <w:t>saneamiento físico legal de los terrenos de la Entidad</w:t>
      </w:r>
      <w:r w:rsidRPr="00EF150F">
        <w:rPr>
          <w:rFonts w:ascii="Tahoma" w:hAnsi="Tahoma" w:cs="Tahoma"/>
          <w:color w:val="000000" w:themeColor="text1"/>
          <w:sz w:val="20"/>
          <w:szCs w:val="20"/>
        </w:rPr>
        <w:t xml:space="preserve">, objeto contractual </w:t>
      </w:r>
      <w:r w:rsidRPr="00EF150F">
        <w:rPr>
          <w:rFonts w:ascii="Tahoma" w:hAnsi="Tahoma" w:cs="Tahoma"/>
          <w:sz w:val="20"/>
          <w:szCs w:val="20"/>
        </w:rPr>
        <w:t>que fuera estipulado en el Contrato № 035-2009-P-CSJJU/PJ; e</w:t>
      </w:r>
      <w:r w:rsidRPr="00EF150F">
        <w:rPr>
          <w:rFonts w:ascii="Tahoma" w:hAnsi="Tahoma" w:cs="Tahoma"/>
          <w:color w:val="000000" w:themeColor="text1"/>
          <w:sz w:val="20"/>
          <w:szCs w:val="20"/>
        </w:rPr>
        <w:t xml:space="preserve">ntendiéndose que éste consistía, </w:t>
      </w:r>
      <w:r w:rsidRPr="00EF150F">
        <w:rPr>
          <w:rFonts w:ascii="Tahoma" w:hAnsi="Tahoma" w:cs="Tahoma"/>
          <w:sz w:val="20"/>
          <w:szCs w:val="20"/>
        </w:rPr>
        <w:t xml:space="preserve">en la elaboración del </w:t>
      </w:r>
      <w:r w:rsidRPr="00EF150F">
        <w:rPr>
          <w:rFonts w:ascii="Tahoma" w:hAnsi="Tahoma" w:cs="Tahoma"/>
          <w:sz w:val="20"/>
          <w:szCs w:val="20"/>
          <w:u w:val="single"/>
        </w:rPr>
        <w:t>expediente técnico</w:t>
      </w:r>
      <w:r w:rsidRPr="00EF150F">
        <w:rPr>
          <w:rFonts w:ascii="Tahoma" w:hAnsi="Tahoma" w:cs="Tahoma"/>
          <w:sz w:val="20"/>
          <w:szCs w:val="20"/>
        </w:rPr>
        <w:t xml:space="preserve"> (planos y memoria descriptiva) y el </w:t>
      </w:r>
      <w:r w:rsidRPr="00EF150F">
        <w:rPr>
          <w:rFonts w:ascii="Tahoma" w:hAnsi="Tahoma" w:cs="Tahoma"/>
          <w:sz w:val="20"/>
          <w:szCs w:val="20"/>
          <w:u w:val="single"/>
        </w:rPr>
        <w:t>expediente legal</w:t>
      </w:r>
      <w:r w:rsidRPr="00EF150F">
        <w:rPr>
          <w:rFonts w:ascii="Tahoma" w:hAnsi="Tahoma" w:cs="Tahoma"/>
          <w:sz w:val="20"/>
          <w:szCs w:val="20"/>
        </w:rPr>
        <w:t>, (título de propiedad), para posteriormente inscribir el dominio y la edificación del predio, de propiedad de l</w:t>
      </w:r>
      <w:r w:rsidR="00EF150F">
        <w:rPr>
          <w:rFonts w:ascii="Tahoma" w:hAnsi="Tahoma" w:cs="Tahoma"/>
          <w:sz w:val="20"/>
          <w:szCs w:val="20"/>
        </w:rPr>
        <w:t>a Entidad en Registros Públicos.</w:t>
      </w:r>
    </w:p>
    <w:p w:rsidR="00EF150F" w:rsidRDefault="00EF150F" w:rsidP="00EF150F">
      <w:pPr>
        <w:pStyle w:val="Prrafodelista"/>
        <w:rPr>
          <w:rFonts w:ascii="Tahoma" w:hAnsi="Tahoma" w:cs="Tahoma"/>
          <w:sz w:val="20"/>
          <w:szCs w:val="20"/>
          <w:lang w:val="es-MX"/>
        </w:rPr>
      </w:pPr>
    </w:p>
    <w:p w:rsidR="00CC1EA4" w:rsidRPr="00EF150F" w:rsidRDefault="00CC1EA4" w:rsidP="00EF150F">
      <w:pPr>
        <w:pStyle w:val="Textoindependiente"/>
        <w:spacing w:after="0"/>
        <w:ind w:left="567"/>
        <w:jc w:val="both"/>
        <w:rPr>
          <w:rFonts w:ascii="Tahoma" w:hAnsi="Tahoma" w:cs="Tahoma"/>
          <w:color w:val="000000"/>
          <w:sz w:val="20"/>
          <w:szCs w:val="20"/>
        </w:rPr>
      </w:pPr>
      <w:r w:rsidRPr="00EF150F">
        <w:rPr>
          <w:rFonts w:ascii="Tahoma" w:hAnsi="Tahoma" w:cs="Tahoma"/>
          <w:sz w:val="20"/>
          <w:szCs w:val="20"/>
          <w:lang w:val="es-MX"/>
        </w:rPr>
        <w:t>A ello, debemos agregar, que una vez presentados los expedientes respectivos ante los Registros Públicos, el Contratista tenía la obligación del seguimiento, subsanaciones de las esquelas de las observaciones y demás trámites hasta la inscripción definitiva de los terrenos en la SUNARP.</w:t>
      </w:r>
    </w:p>
    <w:p w:rsidR="00CC1EA4" w:rsidRPr="00CC1EA4" w:rsidRDefault="00CC1EA4" w:rsidP="00CC1EA4">
      <w:pPr>
        <w:pStyle w:val="Prrafodelista"/>
        <w:rPr>
          <w:rFonts w:ascii="Tahoma" w:hAnsi="Tahoma" w:cs="Tahoma"/>
          <w:sz w:val="20"/>
          <w:szCs w:val="20"/>
          <w:lang w:val="es-PE"/>
        </w:rPr>
      </w:pPr>
    </w:p>
    <w:p w:rsidR="00EF150F" w:rsidRDefault="00CC1EA4" w:rsidP="00EF150F">
      <w:pPr>
        <w:pStyle w:val="Textoindependiente"/>
        <w:numPr>
          <w:ilvl w:val="0"/>
          <w:numId w:val="5"/>
        </w:numPr>
        <w:tabs>
          <w:tab w:val="num" w:pos="567"/>
        </w:tabs>
        <w:spacing w:after="0"/>
        <w:ind w:left="567" w:hanging="567"/>
        <w:jc w:val="both"/>
        <w:rPr>
          <w:rFonts w:ascii="Tahoma" w:hAnsi="Tahoma" w:cs="Tahoma"/>
          <w:color w:val="000000"/>
          <w:sz w:val="20"/>
          <w:szCs w:val="20"/>
        </w:rPr>
      </w:pPr>
      <w:r w:rsidRPr="00CC1EA4">
        <w:rPr>
          <w:rFonts w:ascii="Tahoma" w:hAnsi="Tahoma" w:cs="Tahoma"/>
          <w:sz w:val="20"/>
          <w:szCs w:val="20"/>
        </w:rPr>
        <w:t>Así, pues el artículo 49 de la Ley, ha prescrito que los contratistas están obligados a cumplir cabalmente con lo ofrecido en su propuesta y en cualquier manifestación formal documentada, que hayan aportado adicionalmente en el curso del proceso de selección o en la formalización del contrato. En esta misma línea, el artículo 142 del Reglamento prevé que el contrato es obligatorio para las partes que lo suscriben.</w:t>
      </w:r>
    </w:p>
    <w:p w:rsidR="00EF150F" w:rsidRPr="00EF150F" w:rsidRDefault="00CC1EA4" w:rsidP="00EF150F">
      <w:pPr>
        <w:pStyle w:val="Textoindependiente"/>
        <w:spacing w:after="0"/>
        <w:ind w:left="567"/>
        <w:jc w:val="both"/>
        <w:rPr>
          <w:rFonts w:ascii="Tahoma" w:hAnsi="Tahoma" w:cs="Tahoma"/>
          <w:color w:val="000000"/>
          <w:sz w:val="20"/>
          <w:szCs w:val="20"/>
        </w:rPr>
      </w:pPr>
      <w:r w:rsidRPr="00EF150F">
        <w:rPr>
          <w:rFonts w:ascii="Tahoma" w:hAnsi="Tahoma" w:cs="Tahoma"/>
          <w:sz w:val="20"/>
          <w:szCs w:val="20"/>
        </w:rPr>
        <w:t xml:space="preserve">Entonces queda claro, que </w:t>
      </w:r>
      <w:r w:rsidRPr="00EF150F">
        <w:rPr>
          <w:rFonts w:ascii="Tahoma" w:hAnsi="Tahoma" w:cs="Tahoma"/>
          <w:sz w:val="20"/>
          <w:szCs w:val="20"/>
          <w:lang w:val="es-MX"/>
        </w:rPr>
        <w:t xml:space="preserve">la Ley y su Reglamento ha previsto que el Contratista debe cumplir sus obligaciones contractuales, los cuales deben estar conforme a lo establecido </w:t>
      </w:r>
      <w:r w:rsidRPr="00EF150F">
        <w:rPr>
          <w:rFonts w:ascii="Tahoma" w:hAnsi="Tahoma" w:cs="Tahoma"/>
          <w:sz w:val="20"/>
          <w:szCs w:val="20"/>
          <w:lang w:val="es-MX"/>
        </w:rPr>
        <w:lastRenderedPageBreak/>
        <w:t xml:space="preserve">en </w:t>
      </w:r>
      <w:r w:rsidRPr="00EF150F">
        <w:rPr>
          <w:rFonts w:ascii="Tahoma" w:hAnsi="Tahoma" w:cs="Tahoma"/>
          <w:sz w:val="20"/>
          <w:szCs w:val="20"/>
        </w:rPr>
        <w:t xml:space="preserve">las Bases Integradas, la oferta ganadora y los documentos derivados del proceso de selección que establezcan obligaciones para las partes, toda vez que dicho cumplimiento acreditaría que el Contratista realizó las prestaciones que tenía a su cargo conforme a la normativa que rige las contrataciones públicas. </w:t>
      </w:r>
    </w:p>
    <w:p w:rsidR="00EF150F" w:rsidRPr="00EF150F" w:rsidRDefault="00EF150F" w:rsidP="00EF150F">
      <w:pPr>
        <w:pStyle w:val="Textoindependiente"/>
        <w:spacing w:after="0"/>
        <w:ind w:left="567"/>
        <w:jc w:val="both"/>
        <w:rPr>
          <w:rFonts w:ascii="Tahoma" w:hAnsi="Tahoma" w:cs="Tahoma"/>
          <w:color w:val="000000"/>
          <w:sz w:val="20"/>
          <w:szCs w:val="20"/>
        </w:rPr>
      </w:pPr>
    </w:p>
    <w:p w:rsidR="00EF150F" w:rsidRDefault="00CC1EA4" w:rsidP="00EF150F">
      <w:pPr>
        <w:pStyle w:val="Textoindependiente"/>
        <w:numPr>
          <w:ilvl w:val="0"/>
          <w:numId w:val="5"/>
        </w:numPr>
        <w:tabs>
          <w:tab w:val="num" w:pos="567"/>
        </w:tabs>
        <w:spacing w:after="0"/>
        <w:ind w:left="567" w:hanging="567"/>
        <w:jc w:val="both"/>
        <w:rPr>
          <w:rFonts w:ascii="Tahoma" w:hAnsi="Tahoma" w:cs="Tahoma"/>
          <w:color w:val="000000"/>
          <w:sz w:val="20"/>
          <w:szCs w:val="20"/>
        </w:rPr>
      </w:pPr>
      <w:r w:rsidRPr="00EF150F">
        <w:rPr>
          <w:rFonts w:ascii="Tahoma" w:hAnsi="Tahoma" w:cs="Tahoma"/>
          <w:sz w:val="20"/>
          <w:szCs w:val="20"/>
        </w:rPr>
        <w:t xml:space="preserve">Hechas tales precisiones, y en mérito a la reconsideración interpuesta por el Consorcio, cabe señalar que, en virtud del </w:t>
      </w:r>
      <w:r w:rsidRPr="00EF150F">
        <w:rPr>
          <w:rFonts w:ascii="Tahoma" w:hAnsi="Tahoma" w:cs="Tahoma"/>
          <w:i/>
          <w:sz w:val="20"/>
          <w:szCs w:val="20"/>
        </w:rPr>
        <w:t>Principio de Verdad Material</w:t>
      </w:r>
      <w:r w:rsidRPr="00EF150F">
        <w:rPr>
          <w:rFonts w:ascii="Tahoma" w:hAnsi="Tahoma" w:cs="Tahoma"/>
          <w:sz w:val="20"/>
          <w:szCs w:val="20"/>
        </w:rPr>
        <w:t xml:space="preserve">, este Colegiado programó Audiencia Pública el 25 de julio de 2011, de manera que el Contratista pudiera ahondar en los hechos vertidos en su recurso de reconsideración, y explicar las circunstancias que le impidieron dar cumplimiento a sus obligaciones descritas en el Contrato № 035-2009-P-CSJJU/PJ; en este sentido, el Contratista reiteró que respecto a la </w:t>
      </w:r>
      <w:r w:rsidRPr="00EF150F">
        <w:rPr>
          <w:rFonts w:ascii="Tahoma" w:hAnsi="Tahoma" w:cs="Tahoma"/>
          <w:bCs/>
          <w:sz w:val="20"/>
          <w:szCs w:val="20"/>
        </w:rPr>
        <w:t xml:space="preserve">inscripción definitiva del terreno ubicado en el distrito </w:t>
      </w:r>
      <w:r w:rsidRPr="00EF150F">
        <w:rPr>
          <w:rFonts w:ascii="Tahoma" w:hAnsi="Tahoma" w:cs="Tahoma"/>
          <w:color w:val="000000"/>
          <w:sz w:val="20"/>
          <w:szCs w:val="20"/>
        </w:rPr>
        <w:t>de P</w:t>
      </w:r>
      <w:r w:rsidRPr="00EF150F">
        <w:rPr>
          <w:rFonts w:ascii="Tahoma" w:hAnsi="Tahoma" w:cs="Tahoma"/>
          <w:sz w:val="20"/>
          <w:szCs w:val="20"/>
        </w:rPr>
        <w:t>ichanaki</w:t>
      </w:r>
      <w:r w:rsidRPr="00EF150F">
        <w:rPr>
          <w:rFonts w:ascii="Tahoma" w:hAnsi="Tahoma" w:cs="Tahoma"/>
          <w:color w:val="000000"/>
          <w:sz w:val="20"/>
          <w:szCs w:val="20"/>
        </w:rPr>
        <w:t>, sólo faltaba el pago para que se inscribiera el referido terreno en los Registros Públicos, obligación que tenía a cargo la Entidad y que fuera comunicado a través de la Carta Notarial s/n 26 de marzo de 2010.</w:t>
      </w:r>
    </w:p>
    <w:p w:rsidR="00EF150F" w:rsidRDefault="00EF150F" w:rsidP="00EF150F">
      <w:pPr>
        <w:pStyle w:val="Textoindependiente"/>
        <w:spacing w:after="0"/>
        <w:ind w:left="567"/>
        <w:jc w:val="both"/>
        <w:rPr>
          <w:rFonts w:ascii="Tahoma" w:hAnsi="Tahoma" w:cs="Tahoma"/>
          <w:color w:val="000000"/>
          <w:sz w:val="20"/>
          <w:szCs w:val="20"/>
        </w:rPr>
      </w:pPr>
    </w:p>
    <w:p w:rsidR="00EF150F" w:rsidRDefault="00CC1EA4" w:rsidP="00EF150F">
      <w:pPr>
        <w:pStyle w:val="Textoindependiente"/>
        <w:numPr>
          <w:ilvl w:val="0"/>
          <w:numId w:val="5"/>
        </w:numPr>
        <w:tabs>
          <w:tab w:val="num" w:pos="567"/>
        </w:tabs>
        <w:spacing w:after="0"/>
        <w:ind w:left="567" w:hanging="567"/>
        <w:jc w:val="both"/>
        <w:rPr>
          <w:rFonts w:ascii="Tahoma" w:hAnsi="Tahoma" w:cs="Tahoma"/>
          <w:color w:val="000000"/>
          <w:sz w:val="20"/>
          <w:szCs w:val="20"/>
        </w:rPr>
      </w:pPr>
      <w:r w:rsidRPr="00EF150F">
        <w:rPr>
          <w:rFonts w:ascii="Tahoma" w:hAnsi="Tahoma" w:cs="Tahoma"/>
          <w:color w:val="000000"/>
          <w:sz w:val="20"/>
          <w:szCs w:val="20"/>
        </w:rPr>
        <w:t>En ese sentido, este Colegiado a tenido a la vista la mencionada misiva, en la cual, el Contratista manifestó lo siguiente:</w:t>
      </w:r>
    </w:p>
    <w:p w:rsidR="00EF150F" w:rsidRDefault="00EF150F" w:rsidP="00EF150F">
      <w:pPr>
        <w:pStyle w:val="Prrafodelista"/>
        <w:rPr>
          <w:rFonts w:ascii="Tahoma" w:hAnsi="Tahoma" w:cs="Tahoma"/>
          <w:color w:val="000000"/>
          <w:sz w:val="20"/>
          <w:szCs w:val="20"/>
        </w:rPr>
      </w:pPr>
    </w:p>
    <w:p w:rsidR="00EF150F" w:rsidRDefault="00CC1EA4" w:rsidP="00EF150F">
      <w:pPr>
        <w:pStyle w:val="Textoindependiente"/>
        <w:spacing w:after="0"/>
        <w:ind w:left="567"/>
        <w:jc w:val="both"/>
        <w:rPr>
          <w:rFonts w:ascii="Tahoma" w:hAnsi="Tahoma" w:cs="Tahoma"/>
          <w:color w:val="000000"/>
          <w:sz w:val="20"/>
          <w:szCs w:val="20"/>
        </w:rPr>
      </w:pPr>
      <w:r w:rsidRPr="00EF150F">
        <w:rPr>
          <w:rFonts w:ascii="Tahoma" w:hAnsi="Tahoma" w:cs="Tahoma"/>
          <w:color w:val="000000"/>
          <w:sz w:val="20"/>
          <w:szCs w:val="20"/>
        </w:rPr>
        <w:t>«</w:t>
      </w:r>
      <w:r w:rsidRPr="00EF150F">
        <w:rPr>
          <w:rFonts w:ascii="Tahoma" w:hAnsi="Tahoma" w:cs="Tahoma"/>
          <w:i/>
          <w:color w:val="000000"/>
          <w:sz w:val="20"/>
          <w:szCs w:val="20"/>
        </w:rPr>
        <w:t xml:space="preserve">Terrenos a Sanear del Distrito Pichanaki.- Se coordinó con la Dra. Rosario Gaspar y la Municipalidad Provincial, encontrándose que el expediente de independización del área de terreno elaborado por la Municipalidad se contaba con Resolución y que la Minuta de registro de </w:t>
      </w:r>
      <w:r w:rsidRPr="00EF150F">
        <w:rPr>
          <w:rFonts w:ascii="Tahoma" w:hAnsi="Tahoma" w:cs="Tahoma"/>
          <w:i/>
          <w:color w:val="000000"/>
          <w:sz w:val="20"/>
          <w:szCs w:val="20"/>
          <w:u w:val="single"/>
        </w:rPr>
        <w:t>Escritura de Donación ya se había elaborado y que faltaba sólo el pago respectivo para su inscripción. De acuerdo al levantamiento del terreno efectuado existía una diferencia de metrados, entre el área de independización aprobado y lo levantado, para no entorpecer la inscripción se recomendó que primero se proceda con la inscripción de donación y que posterior se efectuara la rectificación del área del terreno por lo que ya se encuentra con la inscripción</w:t>
      </w:r>
      <w:r w:rsidRPr="00EF150F">
        <w:rPr>
          <w:rFonts w:ascii="Tahoma" w:hAnsi="Tahoma" w:cs="Tahoma"/>
          <w:color w:val="000000"/>
          <w:sz w:val="20"/>
          <w:szCs w:val="20"/>
        </w:rPr>
        <w:t>».(sic).</w:t>
      </w:r>
    </w:p>
    <w:p w:rsidR="00EF150F" w:rsidRDefault="00EF150F" w:rsidP="00EF150F">
      <w:pPr>
        <w:pStyle w:val="Prrafodelista"/>
        <w:rPr>
          <w:rFonts w:ascii="Tahoma" w:hAnsi="Tahoma" w:cs="Tahoma"/>
          <w:color w:val="000000"/>
          <w:sz w:val="20"/>
          <w:szCs w:val="20"/>
        </w:rPr>
      </w:pPr>
    </w:p>
    <w:p w:rsidR="00EF150F" w:rsidRDefault="00CC1EA4" w:rsidP="00EF150F">
      <w:pPr>
        <w:pStyle w:val="Textoindependiente"/>
        <w:numPr>
          <w:ilvl w:val="0"/>
          <w:numId w:val="5"/>
        </w:numPr>
        <w:tabs>
          <w:tab w:val="num" w:pos="567"/>
        </w:tabs>
        <w:spacing w:after="0"/>
        <w:ind w:left="567" w:hanging="567"/>
        <w:jc w:val="both"/>
        <w:rPr>
          <w:rFonts w:ascii="Tahoma" w:hAnsi="Tahoma" w:cs="Tahoma"/>
          <w:color w:val="000000"/>
          <w:sz w:val="20"/>
          <w:szCs w:val="20"/>
        </w:rPr>
      </w:pPr>
      <w:r w:rsidRPr="00EF150F">
        <w:rPr>
          <w:rFonts w:ascii="Tahoma" w:hAnsi="Tahoma" w:cs="Tahoma"/>
          <w:color w:val="000000"/>
          <w:sz w:val="20"/>
          <w:szCs w:val="20"/>
        </w:rPr>
        <w:t>Nótese, entonces que a través de la mencionada comunicación presentada por el Contratista a la Entidad, éste advirtió por un lado, que aún estaba pendiente la inscripción del citado terreno por falta del respectivo pago a los Registros Públicos; y por el otro, que de acuerdo a la memoria descriptiva del mencionado terreno existía una diferencia de metrados entre el área inscrita en la SUNARP y el levantamiento del terreno, recomendándole para tal efecto, se proceda a la rectificación del mismo.</w:t>
      </w:r>
    </w:p>
    <w:p w:rsidR="00EF150F" w:rsidRDefault="00EF150F" w:rsidP="00EF150F">
      <w:pPr>
        <w:pStyle w:val="Textoindependiente"/>
        <w:spacing w:after="0"/>
        <w:ind w:left="567"/>
        <w:jc w:val="both"/>
        <w:rPr>
          <w:rFonts w:ascii="Tahoma" w:hAnsi="Tahoma" w:cs="Tahoma"/>
          <w:color w:val="000000"/>
          <w:sz w:val="20"/>
          <w:szCs w:val="20"/>
        </w:rPr>
      </w:pPr>
    </w:p>
    <w:p w:rsidR="00EF150F" w:rsidRDefault="00CC1EA4" w:rsidP="00EF150F">
      <w:pPr>
        <w:pStyle w:val="Textoindependiente"/>
        <w:numPr>
          <w:ilvl w:val="0"/>
          <w:numId w:val="5"/>
        </w:numPr>
        <w:tabs>
          <w:tab w:val="num" w:pos="567"/>
        </w:tabs>
        <w:spacing w:after="0"/>
        <w:ind w:left="567" w:hanging="567"/>
        <w:jc w:val="both"/>
        <w:rPr>
          <w:rFonts w:ascii="Tahoma" w:hAnsi="Tahoma" w:cs="Tahoma"/>
          <w:color w:val="000000"/>
          <w:sz w:val="20"/>
          <w:szCs w:val="20"/>
        </w:rPr>
      </w:pPr>
      <w:r w:rsidRPr="00EF150F">
        <w:rPr>
          <w:rFonts w:ascii="Tahoma" w:hAnsi="Tahoma" w:cs="Tahoma"/>
          <w:sz w:val="20"/>
          <w:szCs w:val="20"/>
        </w:rPr>
        <w:t xml:space="preserve">Al respecto, fluye de los antecedentes administrativos, la copia autenticada ante fedatario de la Partida № 11034470, en la cual se verifica, que el terreno ubicado en el </w:t>
      </w:r>
      <w:r w:rsidRPr="00EF150F">
        <w:rPr>
          <w:rFonts w:ascii="Tahoma" w:hAnsi="Tahoma" w:cs="Tahoma"/>
          <w:bCs/>
          <w:sz w:val="20"/>
          <w:szCs w:val="20"/>
        </w:rPr>
        <w:t xml:space="preserve">distrito </w:t>
      </w:r>
      <w:r w:rsidRPr="00EF150F">
        <w:rPr>
          <w:rFonts w:ascii="Tahoma" w:hAnsi="Tahoma" w:cs="Tahoma"/>
          <w:color w:val="000000"/>
          <w:sz w:val="20"/>
          <w:szCs w:val="20"/>
        </w:rPr>
        <w:t>de P</w:t>
      </w:r>
      <w:r w:rsidRPr="00EF150F">
        <w:rPr>
          <w:rFonts w:ascii="Tahoma" w:hAnsi="Tahoma" w:cs="Tahoma"/>
          <w:sz w:val="20"/>
          <w:szCs w:val="20"/>
        </w:rPr>
        <w:t xml:space="preserve">ichanaki se encontraba favor del Poder Judicial, desde el 17 de noviembre de 2009, sin embargo el mencionado terreno contenía discrepancias entre sus medidas </w:t>
      </w:r>
      <w:r w:rsidRPr="00EF150F">
        <w:rPr>
          <w:rFonts w:ascii="Tahoma" w:hAnsi="Tahoma" w:cs="Tahoma"/>
          <w:bCs/>
          <w:sz w:val="20"/>
          <w:szCs w:val="20"/>
        </w:rPr>
        <w:t xml:space="preserve">perimétricas contenidas en la partida registral y la memoria descriptiva del citado terreno, ésta última realizada por el Contratista como parte de sus obligaciones contractuales; no obstante ello, y conforme lo expuesto en la audiencia pública, el Contratista no cumplió con presentar ante los Registro Públicos la rectificación respectiva, para que así, el citado terreno este debidamente saneado física y legalmente, </w:t>
      </w:r>
      <w:r w:rsidRPr="00EF150F">
        <w:rPr>
          <w:rFonts w:ascii="Tahoma" w:hAnsi="Tahoma" w:cs="Tahoma"/>
          <w:sz w:val="20"/>
          <w:szCs w:val="20"/>
        </w:rPr>
        <w:t xml:space="preserve">hecho que corroboraría el cumplimiento de su obligaciones contractuales, </w:t>
      </w:r>
      <w:r w:rsidRPr="00EF150F">
        <w:rPr>
          <w:rFonts w:ascii="Tahoma" w:hAnsi="Tahoma" w:cs="Tahoma"/>
          <w:bCs/>
          <w:sz w:val="20"/>
          <w:szCs w:val="20"/>
        </w:rPr>
        <w:t xml:space="preserve">los cuales fueron requeridos por la Entidad a través de la </w:t>
      </w:r>
      <w:r w:rsidRPr="00EF150F">
        <w:rPr>
          <w:rFonts w:ascii="Tahoma" w:hAnsi="Tahoma" w:cs="Tahoma"/>
          <w:sz w:val="20"/>
          <w:szCs w:val="20"/>
        </w:rPr>
        <w:t xml:space="preserve">Carta Notarial № 001-2010-P-CSJJU/PJ diligenciada el 24 de marzo de 2010. </w:t>
      </w:r>
      <w:r w:rsidRPr="00EF150F">
        <w:rPr>
          <w:rFonts w:ascii="Tahoma" w:hAnsi="Tahoma" w:cs="Tahoma"/>
          <w:color w:val="000000"/>
          <w:sz w:val="20"/>
          <w:szCs w:val="20"/>
        </w:rPr>
        <w:t xml:space="preserve">Por lo tanto, </w:t>
      </w:r>
      <w:r w:rsidRPr="00EF150F">
        <w:rPr>
          <w:rFonts w:ascii="Tahoma" w:hAnsi="Tahoma" w:cs="Tahoma"/>
          <w:sz w:val="20"/>
          <w:szCs w:val="20"/>
        </w:rPr>
        <w:t xml:space="preserve">no resulta amparable lo vertido por el Contratista en este otro extremo del presente </w:t>
      </w:r>
      <w:r w:rsidRPr="00EF150F">
        <w:rPr>
          <w:rFonts w:ascii="Tahoma" w:hAnsi="Tahoma" w:cs="Tahoma"/>
          <w:color w:val="000000"/>
          <w:sz w:val="20"/>
          <w:szCs w:val="20"/>
        </w:rPr>
        <w:t>recurso impugnativo planteado.</w:t>
      </w:r>
    </w:p>
    <w:p w:rsidR="00EF150F" w:rsidRDefault="00EF150F" w:rsidP="00EF150F">
      <w:pPr>
        <w:pStyle w:val="Prrafodelista"/>
        <w:rPr>
          <w:rFonts w:ascii="Tahoma" w:hAnsi="Tahoma" w:cs="Tahoma"/>
          <w:color w:val="000000"/>
          <w:sz w:val="20"/>
          <w:szCs w:val="20"/>
        </w:rPr>
      </w:pPr>
    </w:p>
    <w:p w:rsidR="00CC1EA4" w:rsidRPr="00EF150F" w:rsidRDefault="00CC1EA4" w:rsidP="00EF150F">
      <w:pPr>
        <w:pStyle w:val="Textoindependiente"/>
        <w:numPr>
          <w:ilvl w:val="0"/>
          <w:numId w:val="5"/>
        </w:numPr>
        <w:tabs>
          <w:tab w:val="num" w:pos="567"/>
        </w:tabs>
        <w:spacing w:after="0"/>
        <w:ind w:left="567" w:hanging="567"/>
        <w:jc w:val="both"/>
        <w:rPr>
          <w:rFonts w:ascii="Tahoma" w:hAnsi="Tahoma" w:cs="Tahoma"/>
          <w:color w:val="000000"/>
          <w:sz w:val="20"/>
          <w:szCs w:val="20"/>
        </w:rPr>
      </w:pPr>
      <w:r w:rsidRPr="00EF150F">
        <w:rPr>
          <w:rFonts w:ascii="Tahoma" w:hAnsi="Tahoma" w:cs="Tahoma"/>
          <w:color w:val="000000"/>
          <w:sz w:val="20"/>
          <w:szCs w:val="20"/>
        </w:rPr>
        <w:lastRenderedPageBreak/>
        <w:t xml:space="preserve">Por las consideraciones expuestas en los numerales precedentes, queda acreditado que </w:t>
      </w:r>
      <w:r w:rsidRPr="00EF150F">
        <w:rPr>
          <w:rFonts w:ascii="Tahoma" w:hAnsi="Tahoma" w:cs="Tahoma"/>
          <w:sz w:val="20"/>
          <w:szCs w:val="20"/>
          <w:lang w:val="es-MX"/>
        </w:rPr>
        <w:t xml:space="preserve">el Contratista no cumplió con las prestaciones que tenía a su cargo, en lo que respecta al saneamiento físico legal del terreno ubicado en el distrito de </w:t>
      </w:r>
      <w:r w:rsidRPr="00EF150F">
        <w:rPr>
          <w:rFonts w:ascii="Tahoma" w:hAnsi="Tahoma" w:cs="Tahoma"/>
          <w:bCs/>
          <w:sz w:val="20"/>
          <w:szCs w:val="20"/>
        </w:rPr>
        <w:t xml:space="preserve">Pichanaki; sin embargo, este Colegiado ha valorado que el </w:t>
      </w:r>
      <w:r w:rsidRPr="00EF150F">
        <w:rPr>
          <w:rFonts w:ascii="Tahoma" w:hAnsi="Tahoma" w:cs="Tahoma"/>
          <w:sz w:val="20"/>
          <w:szCs w:val="20"/>
        </w:rPr>
        <w:t>Contratista cumplió con hacer efectivo el saneamiento físico legal del terreno ubicado en el distrito San Martin de Pangoa</w:t>
      </w:r>
      <w:r w:rsidRPr="00EF150F">
        <w:rPr>
          <w:rFonts w:ascii="Tahoma" w:hAnsi="Tahoma" w:cs="Tahoma"/>
          <w:bCs/>
          <w:sz w:val="20"/>
          <w:szCs w:val="20"/>
        </w:rPr>
        <w:t xml:space="preserve"> </w:t>
      </w:r>
      <w:r w:rsidRPr="00EF150F">
        <w:rPr>
          <w:rFonts w:ascii="Tahoma" w:hAnsi="Tahoma" w:cs="Tahoma"/>
          <w:color w:val="000000"/>
          <w:sz w:val="20"/>
          <w:szCs w:val="20"/>
        </w:rPr>
        <w:t>–contrario a lo indicado en la Resolución impugnada– razón por la cual, corresponde declarar fundado en parte el presente recurso de reconsideración venido en grado.</w:t>
      </w:r>
    </w:p>
    <w:p w:rsidR="00CC1EA4" w:rsidRPr="00CC1EA4" w:rsidRDefault="00CC1EA4" w:rsidP="00CC1EA4">
      <w:pPr>
        <w:pStyle w:val="Prrafodelista"/>
        <w:rPr>
          <w:rFonts w:ascii="Tahoma" w:hAnsi="Tahoma" w:cs="Tahoma"/>
          <w:sz w:val="20"/>
          <w:szCs w:val="20"/>
        </w:rPr>
      </w:pPr>
    </w:p>
    <w:p w:rsidR="00CC1EA4" w:rsidRPr="00CC1EA4" w:rsidRDefault="00CC1EA4" w:rsidP="00CC1EA4">
      <w:pPr>
        <w:pStyle w:val="Textoindependiente"/>
        <w:numPr>
          <w:ilvl w:val="0"/>
          <w:numId w:val="5"/>
        </w:numPr>
        <w:tabs>
          <w:tab w:val="num" w:pos="567"/>
        </w:tabs>
        <w:spacing w:after="0"/>
        <w:ind w:left="567" w:hanging="567"/>
        <w:jc w:val="both"/>
        <w:rPr>
          <w:rFonts w:ascii="Tahoma" w:hAnsi="Tahoma" w:cs="Tahoma"/>
          <w:color w:val="000000"/>
          <w:sz w:val="20"/>
          <w:szCs w:val="20"/>
        </w:rPr>
      </w:pPr>
      <w:r w:rsidRPr="00CC1EA4">
        <w:rPr>
          <w:rFonts w:ascii="Tahoma" w:hAnsi="Tahoma" w:cs="Tahoma"/>
          <w:sz w:val="20"/>
          <w:szCs w:val="20"/>
        </w:rPr>
        <w:t xml:space="preserve">Sin perjuicio de lo expuesto, cabe indicar que en la sanción impuesta contra el Contratista, se considero la graduación de la sanción establecida en el artículo 245 del Reglamento, así como mínimo legal prescrito en el penúltimo párrafo del numeral 2 del artículo 237 del mismo cuerpo legal,  dicho lo cual, este Tribunal no puede revocar la sanción de doce (12) meses en </w:t>
      </w:r>
      <w:r w:rsidRPr="00CC1EA4">
        <w:rPr>
          <w:rFonts w:ascii="Tahoma" w:hAnsi="Tahoma" w:cs="Tahoma"/>
          <w:sz w:val="20"/>
          <w:szCs w:val="20"/>
          <w:lang w:val="es-ES_tradnl"/>
        </w:rPr>
        <w:t xml:space="preserve">su derecho para contratar con el Estado y participar en procesos de selección; máxime si se ha verificado el cumplimiento parcial de </w:t>
      </w:r>
      <w:r w:rsidRPr="00CC1EA4">
        <w:rPr>
          <w:rFonts w:ascii="Tahoma" w:hAnsi="Tahoma" w:cs="Tahoma"/>
          <w:sz w:val="20"/>
          <w:szCs w:val="20"/>
        </w:rPr>
        <w:t>la prestación objeto del Contrato № 035-2009-P-CSJJU/PJ.</w:t>
      </w:r>
    </w:p>
    <w:p w:rsidR="00711297" w:rsidRPr="00CC1EA4" w:rsidRDefault="00711297" w:rsidP="00986843">
      <w:pPr>
        <w:pStyle w:val="Prrafodelista"/>
        <w:jc w:val="both"/>
        <w:rPr>
          <w:rFonts w:ascii="Tahoma" w:hAnsi="Tahoma" w:cs="Tahoma"/>
          <w:sz w:val="20"/>
          <w:szCs w:val="20"/>
        </w:rPr>
      </w:pPr>
    </w:p>
    <w:p w:rsidR="00AE30EA" w:rsidRPr="00CC1EA4" w:rsidRDefault="00AE30EA" w:rsidP="00AE30EA">
      <w:pPr>
        <w:ind w:left="567" w:firstLine="567"/>
        <w:jc w:val="both"/>
        <w:rPr>
          <w:rFonts w:ascii="Tahoma" w:hAnsi="Tahoma" w:cs="Tahoma"/>
          <w:sz w:val="20"/>
          <w:szCs w:val="20"/>
        </w:rPr>
      </w:pPr>
      <w:r w:rsidRPr="00CC1EA4">
        <w:rPr>
          <w:rFonts w:ascii="Tahoma" w:hAnsi="Tahoma" w:cs="Tahoma"/>
          <w:color w:val="000000"/>
          <w:sz w:val="20"/>
          <w:szCs w:val="20"/>
        </w:rPr>
        <w:t xml:space="preserve">Por estos fundamentos, de conformidad con el informe del Vocal Ponente </w:t>
      </w:r>
      <w:r w:rsidRPr="00CC1EA4">
        <w:rPr>
          <w:rFonts w:ascii="Tahoma" w:hAnsi="Tahoma" w:cs="Tahoma"/>
          <w:sz w:val="20"/>
          <w:szCs w:val="20"/>
        </w:rPr>
        <w:t>Doctor Carlos Vicente Navas Rondón</w:t>
      </w:r>
      <w:r w:rsidRPr="00CC1EA4">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711297" w:rsidRPr="00CC1EA4" w:rsidRDefault="00711297" w:rsidP="00986843">
      <w:pPr>
        <w:pStyle w:val="Sinespaciado"/>
        <w:jc w:val="both"/>
        <w:rPr>
          <w:rFonts w:ascii="Tahoma" w:hAnsi="Tahoma" w:cs="Tahoma"/>
          <w:sz w:val="20"/>
          <w:szCs w:val="20"/>
        </w:rPr>
      </w:pPr>
    </w:p>
    <w:p w:rsidR="00711297" w:rsidRPr="00CC1EA4" w:rsidRDefault="00711297" w:rsidP="00986843">
      <w:pPr>
        <w:tabs>
          <w:tab w:val="num" w:pos="360"/>
          <w:tab w:val="left" w:pos="8280"/>
        </w:tabs>
        <w:jc w:val="both"/>
        <w:rPr>
          <w:rFonts w:ascii="Tahoma" w:hAnsi="Tahoma" w:cs="Tahoma"/>
          <w:b/>
          <w:sz w:val="20"/>
          <w:szCs w:val="20"/>
        </w:rPr>
      </w:pPr>
      <w:r w:rsidRPr="00CC1EA4">
        <w:rPr>
          <w:rFonts w:ascii="Tahoma" w:hAnsi="Tahoma" w:cs="Tahoma"/>
          <w:b/>
          <w:sz w:val="20"/>
          <w:szCs w:val="20"/>
        </w:rPr>
        <w:t>LA SALA RESUELVE:</w:t>
      </w:r>
    </w:p>
    <w:p w:rsidR="00711297" w:rsidRPr="00CC1EA4" w:rsidRDefault="00711297" w:rsidP="00986843">
      <w:pPr>
        <w:tabs>
          <w:tab w:val="num" w:pos="360"/>
          <w:tab w:val="left" w:pos="8280"/>
        </w:tabs>
        <w:jc w:val="both"/>
        <w:rPr>
          <w:rFonts w:ascii="Tahoma" w:hAnsi="Tahoma" w:cs="Tahoma"/>
          <w:b/>
          <w:sz w:val="20"/>
          <w:szCs w:val="20"/>
        </w:rPr>
      </w:pPr>
    </w:p>
    <w:p w:rsidR="00CC1EA4" w:rsidRPr="00CC1EA4" w:rsidRDefault="00CC1EA4" w:rsidP="00CC1EA4">
      <w:pPr>
        <w:pStyle w:val="Lista"/>
        <w:numPr>
          <w:ilvl w:val="2"/>
          <w:numId w:val="15"/>
        </w:numPr>
        <w:tabs>
          <w:tab w:val="clear" w:pos="2340"/>
          <w:tab w:val="num" w:pos="567"/>
        </w:tabs>
        <w:ind w:left="567" w:hanging="567"/>
        <w:jc w:val="both"/>
        <w:rPr>
          <w:rFonts w:ascii="Tahoma" w:hAnsi="Tahoma" w:cs="Tahoma"/>
          <w:bCs/>
          <w:color w:val="000000"/>
        </w:rPr>
      </w:pPr>
      <w:r w:rsidRPr="00CC1EA4">
        <w:rPr>
          <w:rFonts w:ascii="Tahoma" w:hAnsi="Tahoma" w:cs="Tahoma"/>
        </w:rPr>
        <w:t>Declarar</w:t>
      </w:r>
      <w:r w:rsidRPr="00CC1EA4">
        <w:rPr>
          <w:rFonts w:ascii="Tahoma" w:hAnsi="Tahoma" w:cs="Tahoma"/>
          <w:b/>
        </w:rPr>
        <w:t xml:space="preserve"> </w:t>
      </w:r>
      <w:r w:rsidRPr="00CC1EA4">
        <w:rPr>
          <w:rFonts w:ascii="Tahoma" w:hAnsi="Tahoma" w:cs="Tahoma"/>
        </w:rPr>
        <w:t>fundado en parte el recurso de reconsideración interpuesto por el señor CARLOS ENRIQUE FABIAN CHALE en el extremo referido al no cumplimiento del saneamiento físico legal del terreno ubicado en el distrito de San Martin de Pangoa; e infundado en el extremo que se dispuso imponerle sanción administrativa de inhabilitación temporal en sus derechos para participar en procesos de selección y contratar con el Estado por el periodo de doce (12) meses, la cual se confirma en todos sus extremos, toda vez que no cumplió con las prestaciones que tenía a su cargo, referido al saneamiento físico legal del terreno ubicado en el distrito de Pichanaki, por lo fundamentos expuestos.</w:t>
      </w:r>
    </w:p>
    <w:p w:rsidR="00CC1EA4" w:rsidRPr="00CC1EA4" w:rsidRDefault="00CC1EA4" w:rsidP="00CC1EA4">
      <w:pPr>
        <w:pStyle w:val="Lista"/>
        <w:ind w:left="567" w:firstLine="0"/>
        <w:jc w:val="both"/>
        <w:rPr>
          <w:rFonts w:ascii="Tahoma" w:hAnsi="Tahoma" w:cs="Tahoma"/>
          <w:bCs/>
          <w:color w:val="000000"/>
        </w:rPr>
      </w:pPr>
    </w:p>
    <w:p w:rsidR="00CC1EA4" w:rsidRPr="00CC1EA4" w:rsidRDefault="00CC1EA4" w:rsidP="00CC1EA4">
      <w:pPr>
        <w:pStyle w:val="Lista"/>
        <w:numPr>
          <w:ilvl w:val="2"/>
          <w:numId w:val="15"/>
        </w:numPr>
        <w:tabs>
          <w:tab w:val="clear" w:pos="2340"/>
          <w:tab w:val="num" w:pos="567"/>
        </w:tabs>
        <w:ind w:left="567" w:hanging="567"/>
        <w:jc w:val="both"/>
        <w:rPr>
          <w:rFonts w:ascii="Tahoma" w:hAnsi="Tahoma" w:cs="Tahoma"/>
          <w:bCs/>
          <w:color w:val="000000"/>
        </w:rPr>
      </w:pPr>
      <w:r w:rsidRPr="00CC1EA4">
        <w:rPr>
          <w:rFonts w:ascii="Tahoma" w:hAnsi="Tahoma" w:cs="Tahoma"/>
          <w:bCs/>
        </w:rPr>
        <w:t xml:space="preserve">Devolver la garantía presentada por el señor </w:t>
      </w:r>
      <w:r w:rsidR="00AE0354" w:rsidRPr="00AE0354">
        <w:rPr>
          <w:rFonts w:ascii="Tahoma" w:hAnsi="Tahoma" w:cs="Tahoma"/>
          <w:bCs/>
        </w:rPr>
        <w:t>CARLOS ENRIQUE FABIAN CHALE</w:t>
      </w:r>
      <w:r w:rsidRPr="00CC1EA4">
        <w:rPr>
          <w:rFonts w:ascii="Tahoma" w:hAnsi="Tahoma" w:cs="Tahoma"/>
          <w:bCs/>
        </w:rPr>
        <w:t xml:space="preserve"> por la interposición del recurso del recurso de reconsideración contra la Resolución № </w:t>
      </w:r>
      <w:r w:rsidRPr="00CC1EA4">
        <w:rPr>
          <w:rFonts w:ascii="Tahoma" w:hAnsi="Tahoma" w:cs="Tahoma"/>
        </w:rPr>
        <w:t>1063-2011-TC-S1</w:t>
      </w:r>
      <w:r w:rsidRPr="00CC1EA4">
        <w:rPr>
          <w:rFonts w:ascii="Tahoma" w:hAnsi="Tahoma" w:cs="Tahoma"/>
          <w:bCs/>
        </w:rPr>
        <w:t>.</w:t>
      </w:r>
    </w:p>
    <w:p w:rsidR="00CC1EA4" w:rsidRPr="00CC1EA4" w:rsidRDefault="00CC1EA4" w:rsidP="00CC1EA4">
      <w:pPr>
        <w:pStyle w:val="Prrafodelista"/>
        <w:rPr>
          <w:rFonts w:ascii="Tahoma" w:hAnsi="Tahoma" w:cs="Tahoma"/>
          <w:sz w:val="20"/>
          <w:szCs w:val="20"/>
        </w:rPr>
      </w:pPr>
    </w:p>
    <w:p w:rsidR="00CC1EA4" w:rsidRPr="00CC1EA4" w:rsidRDefault="00CC1EA4" w:rsidP="00CC1EA4">
      <w:pPr>
        <w:pStyle w:val="Lista"/>
        <w:numPr>
          <w:ilvl w:val="2"/>
          <w:numId w:val="15"/>
        </w:numPr>
        <w:tabs>
          <w:tab w:val="clear" w:pos="2340"/>
          <w:tab w:val="num" w:pos="567"/>
        </w:tabs>
        <w:ind w:left="567" w:hanging="567"/>
        <w:jc w:val="both"/>
        <w:rPr>
          <w:rFonts w:ascii="Tahoma" w:hAnsi="Tahoma" w:cs="Tahoma"/>
          <w:bCs/>
          <w:color w:val="000000"/>
        </w:rPr>
      </w:pPr>
      <w:r w:rsidRPr="00CC1EA4">
        <w:rPr>
          <w:rFonts w:ascii="Tahoma" w:hAnsi="Tahoma" w:cs="Tahoma"/>
        </w:rPr>
        <w:t xml:space="preserve">Poner la presente Resolución en conocimiento de la Subdirección del Registro Nacional de Proveedores del Organismo Superior de Contrataciones del Estado (OSCE), para las anotaciones de ley. </w:t>
      </w:r>
    </w:p>
    <w:p w:rsidR="00CC1EA4" w:rsidRPr="00CC1EA4" w:rsidRDefault="00CC1EA4" w:rsidP="00CC1EA4">
      <w:pPr>
        <w:pStyle w:val="Prrafodelista"/>
        <w:rPr>
          <w:rFonts w:ascii="Tahoma" w:hAnsi="Tahoma" w:cs="Tahoma"/>
          <w:color w:val="000000"/>
          <w:sz w:val="20"/>
          <w:szCs w:val="20"/>
          <w:lang w:val="es-ES_tradnl"/>
        </w:rPr>
      </w:pPr>
    </w:p>
    <w:p w:rsidR="00CC1EA4" w:rsidRPr="00CC1EA4" w:rsidRDefault="00CC1EA4" w:rsidP="00CC1EA4">
      <w:pPr>
        <w:pStyle w:val="Lista"/>
        <w:numPr>
          <w:ilvl w:val="2"/>
          <w:numId w:val="15"/>
        </w:numPr>
        <w:tabs>
          <w:tab w:val="clear" w:pos="2340"/>
          <w:tab w:val="num" w:pos="567"/>
        </w:tabs>
        <w:ind w:left="567" w:hanging="567"/>
        <w:jc w:val="both"/>
        <w:rPr>
          <w:rFonts w:ascii="Tahoma" w:hAnsi="Tahoma" w:cs="Tahoma"/>
          <w:bCs/>
          <w:color w:val="000000"/>
        </w:rPr>
      </w:pPr>
      <w:r w:rsidRPr="00CC1EA4">
        <w:rPr>
          <w:rFonts w:ascii="Tahoma" w:hAnsi="Tahoma" w:cs="Tahoma"/>
          <w:color w:val="000000"/>
          <w:lang w:val="es-ES_tradnl"/>
        </w:rPr>
        <w:t>Dar por agotada la vía administrativa.</w:t>
      </w:r>
    </w:p>
    <w:p w:rsidR="00C46DE3" w:rsidRPr="00CC1EA4" w:rsidRDefault="00C46DE3" w:rsidP="00C46DE3">
      <w:pPr>
        <w:pStyle w:val="Prrafodelista"/>
        <w:ind w:left="1134"/>
        <w:rPr>
          <w:rFonts w:ascii="Tahoma" w:hAnsi="Tahoma" w:cs="Tahoma"/>
          <w:bCs/>
          <w:sz w:val="20"/>
          <w:szCs w:val="20"/>
        </w:rPr>
      </w:pPr>
    </w:p>
    <w:p w:rsidR="00C46DE3" w:rsidRPr="00CC1EA4" w:rsidRDefault="00C46DE3" w:rsidP="00C46DE3">
      <w:pPr>
        <w:pStyle w:val="Prrafodelista"/>
        <w:rPr>
          <w:rFonts w:ascii="Tahoma" w:hAnsi="Tahoma" w:cs="Tahoma"/>
          <w:sz w:val="20"/>
          <w:szCs w:val="20"/>
        </w:rPr>
      </w:pPr>
    </w:p>
    <w:p w:rsidR="00877F0D" w:rsidRPr="00CC1EA4" w:rsidRDefault="00877F0D" w:rsidP="00986843">
      <w:pPr>
        <w:ind w:left="540"/>
        <w:jc w:val="both"/>
        <w:rPr>
          <w:rFonts w:ascii="Tahoma" w:hAnsi="Tahoma" w:cs="Tahoma"/>
          <w:sz w:val="20"/>
          <w:szCs w:val="20"/>
        </w:rPr>
      </w:pPr>
    </w:p>
    <w:p w:rsidR="00711297" w:rsidRPr="00CC1EA4" w:rsidRDefault="00711297" w:rsidP="00986843">
      <w:pPr>
        <w:tabs>
          <w:tab w:val="num" w:pos="540"/>
        </w:tabs>
        <w:jc w:val="both"/>
        <w:rPr>
          <w:rFonts w:ascii="Tahoma" w:hAnsi="Tahoma" w:cs="Tahoma"/>
          <w:sz w:val="20"/>
          <w:szCs w:val="20"/>
        </w:rPr>
      </w:pPr>
      <w:r w:rsidRPr="00CC1EA4">
        <w:rPr>
          <w:rFonts w:ascii="Tahoma" w:hAnsi="Tahoma" w:cs="Tahoma"/>
          <w:sz w:val="20"/>
          <w:szCs w:val="20"/>
        </w:rPr>
        <w:t>Regístrese, comuníquese y publíquese.</w:t>
      </w:r>
    </w:p>
    <w:p w:rsidR="00711297" w:rsidRPr="00CC1EA4" w:rsidRDefault="00711297" w:rsidP="00986843">
      <w:pPr>
        <w:tabs>
          <w:tab w:val="num" w:pos="540"/>
        </w:tabs>
        <w:jc w:val="both"/>
        <w:rPr>
          <w:rFonts w:ascii="Tahoma" w:hAnsi="Tahoma" w:cs="Tahoma"/>
          <w:sz w:val="20"/>
          <w:szCs w:val="20"/>
        </w:rPr>
      </w:pPr>
    </w:p>
    <w:p w:rsidR="00711297" w:rsidRPr="00CC1EA4" w:rsidRDefault="00711297" w:rsidP="00986843">
      <w:pPr>
        <w:jc w:val="both"/>
        <w:rPr>
          <w:rFonts w:ascii="Tahoma" w:hAnsi="Tahoma" w:cs="Tahoma"/>
          <w:b/>
          <w:shadow/>
          <w:sz w:val="20"/>
          <w:szCs w:val="20"/>
          <w:lang w:val="pt-BR"/>
        </w:rPr>
      </w:pPr>
    </w:p>
    <w:p w:rsidR="00711297" w:rsidRPr="00CC1EA4" w:rsidRDefault="00711297" w:rsidP="00986843">
      <w:pPr>
        <w:jc w:val="both"/>
        <w:rPr>
          <w:rFonts w:ascii="Tahoma" w:hAnsi="Tahoma" w:cs="Tahoma"/>
          <w:b/>
          <w:shadow/>
          <w:sz w:val="20"/>
          <w:szCs w:val="20"/>
          <w:lang w:val="pt-BR"/>
        </w:rPr>
      </w:pPr>
    </w:p>
    <w:p w:rsidR="00101193" w:rsidRPr="00CC1EA4" w:rsidRDefault="00101193" w:rsidP="00986843">
      <w:pPr>
        <w:jc w:val="both"/>
        <w:rPr>
          <w:rFonts w:ascii="Tahoma" w:hAnsi="Tahoma" w:cs="Tahoma"/>
          <w:b/>
          <w:shadow/>
          <w:sz w:val="20"/>
          <w:szCs w:val="20"/>
          <w:lang w:val="pt-BR"/>
        </w:rPr>
      </w:pPr>
    </w:p>
    <w:p w:rsidR="0077221D" w:rsidRPr="00CC1EA4" w:rsidRDefault="0077221D" w:rsidP="00986843">
      <w:pPr>
        <w:jc w:val="both"/>
        <w:rPr>
          <w:rFonts w:ascii="Tahoma" w:hAnsi="Tahoma" w:cs="Tahoma"/>
          <w:b/>
          <w:shadow/>
          <w:sz w:val="20"/>
          <w:szCs w:val="20"/>
          <w:lang w:val="pt-BR"/>
        </w:rPr>
      </w:pPr>
    </w:p>
    <w:p w:rsidR="0077221D" w:rsidRPr="00CC1EA4" w:rsidRDefault="0077221D" w:rsidP="00986843">
      <w:pPr>
        <w:jc w:val="both"/>
        <w:rPr>
          <w:rFonts w:ascii="Tahoma" w:hAnsi="Tahoma" w:cs="Tahoma"/>
          <w:b/>
          <w:shadow/>
          <w:sz w:val="20"/>
          <w:szCs w:val="20"/>
          <w:lang w:val="pt-BR"/>
        </w:rPr>
      </w:pPr>
    </w:p>
    <w:p w:rsidR="00101193" w:rsidRPr="00CC1EA4" w:rsidRDefault="00101193" w:rsidP="00986843">
      <w:pPr>
        <w:jc w:val="both"/>
        <w:rPr>
          <w:rFonts w:ascii="Tahoma" w:hAnsi="Tahoma" w:cs="Tahoma"/>
          <w:b/>
          <w:shadow/>
          <w:sz w:val="20"/>
          <w:szCs w:val="20"/>
          <w:lang w:val="pt-BR"/>
        </w:rPr>
      </w:pPr>
    </w:p>
    <w:p w:rsidR="00101193" w:rsidRPr="00CC1EA4" w:rsidRDefault="00101193" w:rsidP="00986843">
      <w:pPr>
        <w:jc w:val="both"/>
        <w:rPr>
          <w:rFonts w:ascii="Tahoma" w:hAnsi="Tahoma" w:cs="Tahoma"/>
          <w:b/>
          <w:shadow/>
          <w:sz w:val="20"/>
          <w:szCs w:val="20"/>
          <w:lang w:val="pt-BR"/>
        </w:rPr>
      </w:pPr>
    </w:p>
    <w:p w:rsidR="00711297" w:rsidRPr="00CC1EA4" w:rsidRDefault="00711297" w:rsidP="00986843">
      <w:pPr>
        <w:jc w:val="both"/>
        <w:rPr>
          <w:rFonts w:ascii="Tahoma" w:hAnsi="Tahoma" w:cs="Tahoma"/>
          <w:b/>
          <w:shadow/>
          <w:sz w:val="20"/>
          <w:szCs w:val="20"/>
          <w:lang w:val="pt-BR"/>
        </w:rPr>
      </w:pPr>
    </w:p>
    <w:p w:rsidR="00711297" w:rsidRPr="00CC1EA4" w:rsidRDefault="00711297" w:rsidP="00491A1B">
      <w:pPr>
        <w:pStyle w:val="Prrafodelista"/>
        <w:jc w:val="center"/>
        <w:rPr>
          <w:rFonts w:ascii="Tahoma" w:hAnsi="Tahoma" w:cs="Tahoma"/>
          <w:b/>
          <w:shadow/>
          <w:sz w:val="20"/>
          <w:szCs w:val="20"/>
          <w:lang w:val="pt-BR"/>
        </w:rPr>
      </w:pPr>
      <w:r w:rsidRPr="00CC1EA4">
        <w:rPr>
          <w:rFonts w:ascii="Tahoma" w:hAnsi="Tahoma" w:cs="Tahoma"/>
          <w:b/>
          <w:shadow/>
          <w:sz w:val="20"/>
          <w:szCs w:val="20"/>
          <w:lang w:val="pt-BR"/>
        </w:rPr>
        <w:t>PRESIDENTE</w:t>
      </w:r>
    </w:p>
    <w:p w:rsidR="00711297" w:rsidRPr="00CC1EA4" w:rsidRDefault="00711297" w:rsidP="00491A1B">
      <w:pPr>
        <w:pStyle w:val="Prrafodelista"/>
        <w:jc w:val="center"/>
        <w:rPr>
          <w:rFonts w:ascii="Tahoma" w:hAnsi="Tahoma" w:cs="Tahoma"/>
          <w:b/>
          <w:shadow/>
          <w:sz w:val="20"/>
          <w:szCs w:val="20"/>
          <w:lang w:val="pt-BR"/>
        </w:rPr>
      </w:pPr>
    </w:p>
    <w:p w:rsidR="00711297" w:rsidRPr="00CC1EA4" w:rsidRDefault="00711297" w:rsidP="00491A1B">
      <w:pPr>
        <w:pStyle w:val="Prrafodelista"/>
        <w:jc w:val="center"/>
        <w:rPr>
          <w:rFonts w:ascii="Tahoma" w:hAnsi="Tahoma" w:cs="Tahoma"/>
          <w:b/>
          <w:shadow/>
          <w:sz w:val="20"/>
          <w:szCs w:val="20"/>
          <w:lang w:val="pt-BR"/>
        </w:rPr>
      </w:pPr>
    </w:p>
    <w:p w:rsidR="00711297" w:rsidRPr="00CC1EA4" w:rsidRDefault="00711297" w:rsidP="00491A1B">
      <w:pPr>
        <w:ind w:left="360"/>
        <w:jc w:val="center"/>
        <w:rPr>
          <w:rFonts w:ascii="Tahoma" w:hAnsi="Tahoma" w:cs="Tahoma"/>
          <w:b/>
          <w:shadow/>
          <w:sz w:val="20"/>
          <w:szCs w:val="20"/>
          <w:lang w:val="pt-BR"/>
        </w:rPr>
      </w:pPr>
    </w:p>
    <w:p w:rsidR="00711297" w:rsidRPr="00CC1EA4" w:rsidRDefault="00711297" w:rsidP="00491A1B">
      <w:pPr>
        <w:jc w:val="center"/>
        <w:rPr>
          <w:rFonts w:ascii="Tahoma" w:hAnsi="Tahoma" w:cs="Tahoma"/>
          <w:b/>
          <w:shadow/>
          <w:sz w:val="20"/>
          <w:szCs w:val="20"/>
          <w:lang w:val="pt-BR"/>
        </w:rPr>
      </w:pPr>
    </w:p>
    <w:p w:rsidR="00711297" w:rsidRPr="00CC1EA4" w:rsidRDefault="00711297" w:rsidP="00491A1B">
      <w:pPr>
        <w:ind w:left="708" w:hanging="708"/>
        <w:jc w:val="center"/>
        <w:rPr>
          <w:rFonts w:ascii="Tahoma" w:hAnsi="Tahoma" w:cs="Tahoma"/>
          <w:b/>
          <w:shadow/>
          <w:sz w:val="20"/>
          <w:szCs w:val="20"/>
          <w:lang w:val="pt-BR"/>
        </w:rPr>
      </w:pPr>
      <w:r w:rsidRPr="00CC1EA4">
        <w:rPr>
          <w:rFonts w:ascii="Tahoma" w:hAnsi="Tahoma" w:cs="Tahoma"/>
          <w:b/>
          <w:shadow/>
          <w:sz w:val="20"/>
          <w:szCs w:val="20"/>
          <w:lang w:val="pt-BR"/>
        </w:rPr>
        <w:t>VOCAL                                                                                                 VOCAL</w:t>
      </w:r>
    </w:p>
    <w:p w:rsidR="00711297" w:rsidRPr="00CC1EA4" w:rsidRDefault="00711297" w:rsidP="00986843">
      <w:pPr>
        <w:ind w:left="360"/>
        <w:jc w:val="both"/>
        <w:rPr>
          <w:rFonts w:ascii="Tahoma" w:hAnsi="Tahoma" w:cs="Tahoma"/>
          <w:shadow/>
          <w:sz w:val="20"/>
          <w:szCs w:val="20"/>
          <w:lang w:val="pt-BR"/>
        </w:rPr>
      </w:pPr>
    </w:p>
    <w:p w:rsidR="00162FCA" w:rsidRPr="00CC1EA4" w:rsidRDefault="00162FCA" w:rsidP="00986843">
      <w:pPr>
        <w:ind w:left="360"/>
        <w:jc w:val="both"/>
        <w:rPr>
          <w:rFonts w:ascii="Tahoma" w:hAnsi="Tahoma" w:cs="Tahoma"/>
          <w:shadow/>
          <w:sz w:val="20"/>
          <w:szCs w:val="20"/>
          <w:lang w:val="pt-BR"/>
        </w:rPr>
      </w:pPr>
    </w:p>
    <w:p w:rsidR="00162FCA" w:rsidRPr="00CC1EA4" w:rsidRDefault="00162FCA" w:rsidP="00986843">
      <w:pPr>
        <w:ind w:left="360"/>
        <w:jc w:val="both"/>
        <w:rPr>
          <w:rFonts w:ascii="Tahoma" w:hAnsi="Tahoma" w:cs="Tahoma"/>
          <w:shadow/>
          <w:sz w:val="20"/>
          <w:szCs w:val="20"/>
          <w:lang w:val="pt-BR"/>
        </w:rPr>
      </w:pPr>
    </w:p>
    <w:p w:rsidR="00C46DE3" w:rsidRPr="00CC1EA4" w:rsidRDefault="00C46DE3" w:rsidP="00C46DE3">
      <w:pPr>
        <w:pStyle w:val="Textoindependiente21"/>
        <w:rPr>
          <w:rFonts w:cs="Tahoma"/>
          <w:sz w:val="20"/>
          <w:lang w:val="pt-BR"/>
        </w:rPr>
      </w:pPr>
    </w:p>
    <w:p w:rsidR="00C46DE3" w:rsidRPr="00CC1EA4" w:rsidRDefault="00C46DE3" w:rsidP="00C46DE3">
      <w:pPr>
        <w:pStyle w:val="Textoindependiente21"/>
        <w:rPr>
          <w:rFonts w:cs="Tahoma"/>
          <w:sz w:val="20"/>
          <w:lang w:val="pt-BR"/>
        </w:rPr>
      </w:pPr>
      <w:r w:rsidRPr="00CC1EA4">
        <w:rPr>
          <w:rFonts w:cs="Tahoma"/>
          <w:sz w:val="20"/>
          <w:lang w:val="pt-BR"/>
        </w:rPr>
        <w:t>ss.</w:t>
      </w:r>
    </w:p>
    <w:p w:rsidR="00554A3C" w:rsidRPr="00CC1EA4" w:rsidRDefault="00554A3C" w:rsidP="00554A3C">
      <w:pPr>
        <w:jc w:val="both"/>
        <w:rPr>
          <w:rFonts w:ascii="Tahoma" w:hAnsi="Tahoma" w:cs="Tahoma"/>
          <w:sz w:val="20"/>
          <w:szCs w:val="20"/>
        </w:rPr>
      </w:pPr>
      <w:r w:rsidRPr="00CC1EA4">
        <w:rPr>
          <w:rFonts w:ascii="Tahoma" w:hAnsi="Tahoma" w:cs="Tahoma"/>
          <w:sz w:val="20"/>
          <w:szCs w:val="20"/>
        </w:rPr>
        <w:t>Navas Rondón</w:t>
      </w:r>
    </w:p>
    <w:p w:rsidR="00554A3C" w:rsidRPr="00CC1EA4" w:rsidRDefault="00554A3C" w:rsidP="00554A3C">
      <w:pPr>
        <w:jc w:val="both"/>
        <w:rPr>
          <w:rFonts w:ascii="Tahoma" w:hAnsi="Tahoma" w:cs="Tahoma"/>
          <w:color w:val="000000"/>
          <w:sz w:val="20"/>
          <w:szCs w:val="20"/>
        </w:rPr>
      </w:pPr>
      <w:r w:rsidRPr="00CC1EA4">
        <w:rPr>
          <w:rFonts w:ascii="Tahoma" w:hAnsi="Tahoma" w:cs="Tahoma"/>
          <w:color w:val="000000"/>
          <w:sz w:val="20"/>
          <w:szCs w:val="20"/>
        </w:rPr>
        <w:t xml:space="preserve">Ramírez Maynetto </w:t>
      </w:r>
    </w:p>
    <w:p w:rsidR="00554A3C" w:rsidRPr="00CC1EA4" w:rsidRDefault="00554A3C" w:rsidP="00554A3C">
      <w:pPr>
        <w:jc w:val="both"/>
        <w:rPr>
          <w:rFonts w:ascii="Tahoma" w:hAnsi="Tahoma" w:cs="Tahoma"/>
          <w:sz w:val="20"/>
          <w:szCs w:val="20"/>
        </w:rPr>
      </w:pPr>
      <w:r w:rsidRPr="00CC1EA4">
        <w:rPr>
          <w:rFonts w:ascii="Tahoma" w:hAnsi="Tahoma" w:cs="Tahoma"/>
          <w:sz w:val="20"/>
          <w:szCs w:val="20"/>
        </w:rPr>
        <w:t>Basulto Liewald.</w:t>
      </w:r>
    </w:p>
    <w:p w:rsidR="00212795" w:rsidRPr="00CC1EA4" w:rsidRDefault="00212795" w:rsidP="005673D8">
      <w:pPr>
        <w:pStyle w:val="Textoindependiente21"/>
        <w:rPr>
          <w:rFonts w:cs="Tahoma"/>
          <w:sz w:val="20"/>
        </w:rPr>
      </w:pPr>
    </w:p>
    <w:sectPr w:rsidR="00212795" w:rsidRPr="00CC1EA4" w:rsidSect="00904E87">
      <w:headerReference w:type="default" r:id="rId7"/>
      <w:footerReference w:type="default" r:id="rId8"/>
      <w:pgSz w:w="11906" w:h="16838"/>
      <w:pgMar w:top="3403" w:right="1701"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8AE" w:rsidRDefault="00B858AE" w:rsidP="00711297">
      <w:r>
        <w:separator/>
      </w:r>
    </w:p>
  </w:endnote>
  <w:endnote w:type="continuationSeparator" w:id="1">
    <w:p w:rsidR="00B858AE" w:rsidRDefault="00B858AE" w:rsidP="007112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769751"/>
      <w:docPartObj>
        <w:docPartGallery w:val="Page Numbers (Bottom of Page)"/>
        <w:docPartUnique/>
      </w:docPartObj>
    </w:sdtPr>
    <w:sdtEndPr>
      <w:rPr>
        <w:sz w:val="18"/>
        <w:szCs w:val="18"/>
      </w:rPr>
    </w:sdtEndPr>
    <w:sdtContent>
      <w:sdt>
        <w:sdtPr>
          <w:rPr>
            <w:sz w:val="18"/>
            <w:szCs w:val="18"/>
          </w:rPr>
          <w:id w:val="216747587"/>
          <w:docPartObj>
            <w:docPartGallery w:val="Page Numbers (Top of Page)"/>
            <w:docPartUnique/>
          </w:docPartObj>
        </w:sdtPr>
        <w:sdtContent>
          <w:p w:rsidR="002641FC" w:rsidRPr="002641FC" w:rsidRDefault="002641FC">
            <w:pPr>
              <w:pStyle w:val="Piedepgina"/>
              <w:jc w:val="right"/>
              <w:rPr>
                <w:sz w:val="18"/>
                <w:szCs w:val="18"/>
              </w:rPr>
            </w:pPr>
            <w:r w:rsidRPr="002641FC">
              <w:rPr>
                <w:sz w:val="18"/>
                <w:szCs w:val="18"/>
              </w:rPr>
              <w:t xml:space="preserve">Página </w:t>
            </w:r>
            <w:r w:rsidR="0005281E" w:rsidRPr="002641FC">
              <w:rPr>
                <w:b/>
                <w:sz w:val="18"/>
                <w:szCs w:val="18"/>
              </w:rPr>
              <w:fldChar w:fldCharType="begin"/>
            </w:r>
            <w:r w:rsidRPr="002641FC">
              <w:rPr>
                <w:b/>
                <w:sz w:val="18"/>
                <w:szCs w:val="18"/>
              </w:rPr>
              <w:instrText>PAGE</w:instrText>
            </w:r>
            <w:r w:rsidR="0005281E" w:rsidRPr="002641FC">
              <w:rPr>
                <w:b/>
                <w:sz w:val="18"/>
                <w:szCs w:val="18"/>
              </w:rPr>
              <w:fldChar w:fldCharType="separate"/>
            </w:r>
            <w:r w:rsidR="00065FEC">
              <w:rPr>
                <w:b/>
                <w:noProof/>
                <w:sz w:val="18"/>
                <w:szCs w:val="18"/>
              </w:rPr>
              <w:t>1</w:t>
            </w:r>
            <w:r w:rsidR="0005281E" w:rsidRPr="002641FC">
              <w:rPr>
                <w:b/>
                <w:sz w:val="18"/>
                <w:szCs w:val="18"/>
              </w:rPr>
              <w:fldChar w:fldCharType="end"/>
            </w:r>
            <w:r w:rsidRPr="002641FC">
              <w:rPr>
                <w:sz w:val="18"/>
                <w:szCs w:val="18"/>
              </w:rPr>
              <w:t xml:space="preserve"> de </w:t>
            </w:r>
            <w:r w:rsidR="0005281E" w:rsidRPr="002641FC">
              <w:rPr>
                <w:b/>
                <w:sz w:val="18"/>
                <w:szCs w:val="18"/>
              </w:rPr>
              <w:fldChar w:fldCharType="begin"/>
            </w:r>
            <w:r w:rsidRPr="002641FC">
              <w:rPr>
                <w:b/>
                <w:sz w:val="18"/>
                <w:szCs w:val="18"/>
              </w:rPr>
              <w:instrText>NUMPAGES</w:instrText>
            </w:r>
            <w:r w:rsidR="0005281E" w:rsidRPr="002641FC">
              <w:rPr>
                <w:b/>
                <w:sz w:val="18"/>
                <w:szCs w:val="18"/>
              </w:rPr>
              <w:fldChar w:fldCharType="separate"/>
            </w:r>
            <w:r w:rsidR="00065FEC">
              <w:rPr>
                <w:b/>
                <w:noProof/>
                <w:sz w:val="18"/>
                <w:szCs w:val="18"/>
              </w:rPr>
              <w:t>11</w:t>
            </w:r>
            <w:r w:rsidR="0005281E" w:rsidRPr="002641FC">
              <w:rPr>
                <w:b/>
                <w:sz w:val="18"/>
                <w:szCs w:val="18"/>
              </w:rPr>
              <w:fldChar w:fldCharType="end"/>
            </w:r>
          </w:p>
        </w:sdtContent>
      </w:sdt>
    </w:sdtContent>
  </w:sdt>
  <w:p w:rsidR="00904E87" w:rsidRDefault="00B858A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8AE" w:rsidRDefault="00B858AE" w:rsidP="00711297">
      <w:r>
        <w:separator/>
      </w:r>
    </w:p>
  </w:footnote>
  <w:footnote w:type="continuationSeparator" w:id="1">
    <w:p w:rsidR="00B858AE" w:rsidRDefault="00B858AE" w:rsidP="00711297">
      <w:r>
        <w:continuationSeparator/>
      </w:r>
    </w:p>
  </w:footnote>
  <w:footnote w:id="2">
    <w:p w:rsidR="00CC1EA4" w:rsidRDefault="00CC1EA4" w:rsidP="00CC1EA4">
      <w:r>
        <w:rPr>
          <w:rStyle w:val="Refdenotaalpie"/>
        </w:rPr>
        <w:footnoteRef/>
      </w:r>
      <w:r>
        <w:t xml:space="preserve"> </w:t>
      </w:r>
      <w:r w:rsidRPr="00C062F9">
        <w:rPr>
          <w:b/>
          <w:sz w:val="16"/>
          <w:szCs w:val="16"/>
        </w:rPr>
        <w:t>Cláusula Octava.-</w:t>
      </w:r>
      <w:r>
        <w:rPr>
          <w:b/>
          <w:sz w:val="16"/>
          <w:szCs w:val="16"/>
        </w:rPr>
        <w:t xml:space="preserve"> (...) </w:t>
      </w:r>
      <w:r w:rsidRPr="009C3AAA">
        <w:rPr>
          <w:sz w:val="16"/>
          <w:szCs w:val="16"/>
        </w:rPr>
        <w:t xml:space="preserve">El Contratista deberá cumplir con </w:t>
      </w:r>
      <w:r>
        <w:rPr>
          <w:sz w:val="16"/>
          <w:szCs w:val="16"/>
        </w:rPr>
        <w:t>la</w:t>
      </w:r>
      <w:r w:rsidRPr="009C3AAA">
        <w:rPr>
          <w:sz w:val="16"/>
          <w:szCs w:val="16"/>
        </w:rPr>
        <w:t xml:space="preserve"> p</w:t>
      </w:r>
      <w:r w:rsidRPr="009C3AAA">
        <w:rPr>
          <w:rFonts w:cs="Tahoma"/>
          <w:bCs/>
          <w:sz w:val="16"/>
          <w:szCs w:val="16"/>
        </w:rPr>
        <w:t>resentaci</w:t>
      </w:r>
      <w:r>
        <w:rPr>
          <w:rFonts w:cs="Tahoma"/>
          <w:bCs/>
          <w:sz w:val="16"/>
          <w:szCs w:val="16"/>
        </w:rPr>
        <w:t xml:space="preserve">ón </w:t>
      </w:r>
      <w:r w:rsidRPr="009C3AAA">
        <w:rPr>
          <w:rFonts w:cs="Tahoma"/>
          <w:bCs/>
          <w:sz w:val="16"/>
          <w:szCs w:val="16"/>
        </w:rPr>
        <w:t xml:space="preserve">de los expedientes, seguimiento, subsanaciones de las esquelas de las observaciones y demás trámites hasta la inscripción definitiva de los terrenos en </w:t>
      </w:r>
      <w:smartTag w:uri="urn:schemas-microsoft-com:office:smarttags" w:element="PersonName">
        <w:smartTagPr>
          <w:attr w:name="ProductID" w:val="la SUNARP."/>
        </w:smartTagPr>
        <w:r w:rsidRPr="009C3AAA">
          <w:rPr>
            <w:rFonts w:cs="Tahoma"/>
            <w:bCs/>
            <w:sz w:val="16"/>
            <w:szCs w:val="16"/>
          </w:rPr>
          <w:t>la SUNARP.</w:t>
        </w:r>
      </w:smartTag>
      <w:r w:rsidRPr="00FF516E">
        <w:rPr>
          <w:rFonts w:cs="Tahoma"/>
          <w:bCs/>
          <w:sz w:val="16"/>
          <w:szCs w:val="16"/>
        </w:rPr>
        <w:t xml:space="preserve"> </w:t>
      </w:r>
    </w:p>
  </w:footnote>
  <w:footnote w:id="3">
    <w:p w:rsidR="00CC1EA4" w:rsidRPr="004A0F8D" w:rsidRDefault="00CC1EA4" w:rsidP="002641FC">
      <w:pPr>
        <w:pStyle w:val="Textonotapie"/>
        <w:jc w:val="both"/>
        <w:rPr>
          <w:rFonts w:cs="Tahoma"/>
          <w:sz w:val="16"/>
          <w:szCs w:val="16"/>
          <w:lang w:val="es-PE"/>
        </w:rPr>
      </w:pPr>
      <w:r w:rsidRPr="00370D26">
        <w:rPr>
          <w:rStyle w:val="Refdenotaalpie"/>
          <w:rFonts w:cs="Tahoma"/>
        </w:rPr>
        <w:footnoteRef/>
      </w:r>
      <w:r w:rsidRPr="00370D26">
        <w:rPr>
          <w:rFonts w:cs="Tahoma"/>
          <w:b/>
          <w:sz w:val="16"/>
          <w:szCs w:val="16"/>
        </w:rPr>
        <w:t xml:space="preserve"> </w:t>
      </w:r>
      <w:r w:rsidRPr="004A0F8D">
        <w:rPr>
          <w:rFonts w:cs="Tahoma"/>
          <w:b/>
          <w:sz w:val="16"/>
          <w:szCs w:val="16"/>
          <w:lang w:val="es-PE"/>
        </w:rPr>
        <w:t>Artículo 249.- Recurso de Reconsideración.-</w:t>
      </w:r>
      <w:r w:rsidRPr="004A0F8D">
        <w:rPr>
          <w:rFonts w:cs="Tahoma"/>
          <w:sz w:val="16"/>
          <w:szCs w:val="16"/>
          <w:lang w:val="es-PE"/>
        </w:rPr>
        <w:t xml:space="preserve"> Contra lo resuelto por el Tribunal en un procedimiento sancionador podrá interponerse Recurso de Reconsideración dentro de los cinco (5) días hábiles de notificada o publicada la respectiva resolución. (…)</w:t>
      </w:r>
    </w:p>
    <w:p w:rsidR="00CC1EA4" w:rsidRPr="004A0F8D" w:rsidRDefault="00CC1EA4" w:rsidP="002641FC">
      <w:pPr>
        <w:pStyle w:val="Textonotapie"/>
        <w:jc w:val="both"/>
        <w:rPr>
          <w:rFonts w:cs="Tahoma"/>
          <w:sz w:val="16"/>
          <w:szCs w:val="16"/>
          <w:lang w:val="es-PE"/>
        </w:rPr>
      </w:pPr>
      <w:r w:rsidRPr="004A0F8D">
        <w:rPr>
          <w:rFonts w:cs="Tahoma"/>
          <w:sz w:val="16"/>
          <w:szCs w:val="16"/>
          <w:lang w:val="es-PE"/>
        </w:rPr>
        <w:t>El tribunal resolverá dentro del plazo de quince (15) días hábiles improrrogables de presentado sin observaciones o subsanado el recurso de reconsideración.</w:t>
      </w:r>
    </w:p>
    <w:p w:rsidR="00CC1EA4" w:rsidRPr="00C95E38" w:rsidRDefault="00CC1EA4" w:rsidP="002641FC">
      <w:pPr>
        <w:pStyle w:val="Textonotapie"/>
        <w:ind w:left="180"/>
        <w:jc w:val="both"/>
        <w:rPr>
          <w:rFonts w:cs="Tahoma"/>
          <w:i/>
        </w:rPr>
      </w:pPr>
    </w:p>
  </w:footnote>
  <w:footnote w:id="4">
    <w:p w:rsidR="00CC1EA4" w:rsidRPr="00DC271D" w:rsidRDefault="00CC1EA4" w:rsidP="002641FC">
      <w:pPr>
        <w:pStyle w:val="Textonotapie"/>
        <w:jc w:val="both"/>
        <w:rPr>
          <w:sz w:val="16"/>
          <w:szCs w:val="16"/>
        </w:rPr>
      </w:pPr>
      <w:r w:rsidRPr="00DC271D">
        <w:rPr>
          <w:rStyle w:val="Refdenotaalpie"/>
        </w:rPr>
        <w:footnoteRef/>
      </w:r>
      <w:r w:rsidRPr="00DC271D">
        <w:rPr>
          <w:sz w:val="16"/>
          <w:szCs w:val="16"/>
        </w:rPr>
        <w:t xml:space="preserve"> </w:t>
      </w:r>
      <w:r w:rsidRPr="00DC271D">
        <w:rPr>
          <w:b/>
          <w:bCs/>
          <w:sz w:val="16"/>
          <w:szCs w:val="16"/>
        </w:rPr>
        <w:t xml:space="preserve">Artículo </w:t>
      </w:r>
      <w:r>
        <w:rPr>
          <w:b/>
          <w:bCs/>
          <w:sz w:val="16"/>
          <w:szCs w:val="16"/>
        </w:rPr>
        <w:t>237</w:t>
      </w:r>
      <w:r w:rsidRPr="00DC271D">
        <w:rPr>
          <w:b/>
          <w:bCs/>
          <w:sz w:val="16"/>
          <w:szCs w:val="16"/>
        </w:rPr>
        <w:t>.- Causales de aplicación de sanción a los proveedores, participantes, postores y contratistas</w:t>
      </w:r>
    </w:p>
    <w:p w:rsidR="00CC1EA4" w:rsidRPr="00DC271D" w:rsidRDefault="00CC1EA4" w:rsidP="002641FC">
      <w:pPr>
        <w:pStyle w:val="Textonotapie"/>
        <w:jc w:val="both"/>
        <w:rPr>
          <w:sz w:val="16"/>
          <w:szCs w:val="16"/>
        </w:rPr>
      </w:pPr>
      <w:r w:rsidRPr="00DC271D">
        <w:rPr>
          <w:sz w:val="16"/>
          <w:szCs w:val="16"/>
        </w:rPr>
        <w:t>El Tribunal impondrá la sanción administrativa de inhabilitación temporal o definitiva a los proveedores, participantes, postores y/o contratistas que:</w:t>
      </w:r>
    </w:p>
    <w:p w:rsidR="00CC1EA4" w:rsidRPr="00DC271D" w:rsidRDefault="00CC1EA4" w:rsidP="002641FC">
      <w:pPr>
        <w:pStyle w:val="Textonotapie"/>
        <w:jc w:val="both"/>
        <w:rPr>
          <w:sz w:val="16"/>
          <w:szCs w:val="16"/>
        </w:rPr>
      </w:pPr>
      <w:r w:rsidRPr="00DC271D">
        <w:rPr>
          <w:sz w:val="16"/>
          <w:szCs w:val="16"/>
        </w:rPr>
        <w:t>(…)</w:t>
      </w:r>
    </w:p>
    <w:p w:rsidR="00CC1EA4" w:rsidRPr="00DC271D" w:rsidRDefault="00CC1EA4" w:rsidP="002641FC">
      <w:pPr>
        <w:pStyle w:val="Textonotapie"/>
        <w:jc w:val="both"/>
        <w:rPr>
          <w:sz w:val="16"/>
          <w:szCs w:val="16"/>
        </w:rPr>
      </w:pPr>
      <w:r w:rsidRPr="00DC271D">
        <w:rPr>
          <w:sz w:val="16"/>
          <w:szCs w:val="16"/>
        </w:rPr>
        <w:t>2) Den lugar a la resolución del contrato, orden de compra o de servicios por causal atribuible a su parte.</w:t>
      </w:r>
    </w:p>
    <w:p w:rsidR="00CC1EA4" w:rsidRPr="00237395" w:rsidRDefault="00CC1EA4" w:rsidP="00CC1EA4">
      <w:pPr>
        <w:pStyle w:val="Textonotapie"/>
        <w:rPr>
          <w:sz w:val="18"/>
          <w:szCs w:val="18"/>
        </w:rPr>
      </w:pPr>
    </w:p>
  </w:footnote>
  <w:footnote w:id="5">
    <w:p w:rsidR="00CC1EA4" w:rsidRPr="002C43F1" w:rsidRDefault="00CC1EA4" w:rsidP="00CC1EA4">
      <w:pPr>
        <w:pStyle w:val="Textonotapie"/>
        <w:tabs>
          <w:tab w:val="left" w:pos="360"/>
        </w:tabs>
        <w:ind w:left="180" w:hanging="180"/>
        <w:rPr>
          <w:rFonts w:cs="Tahoma"/>
          <w:sz w:val="16"/>
          <w:szCs w:val="16"/>
          <w:lang w:val="es-ES_tradnl"/>
        </w:rPr>
      </w:pPr>
      <w:r w:rsidRPr="002C43F1">
        <w:rPr>
          <w:rStyle w:val="Refdenotaalpie"/>
        </w:rPr>
        <w:footnoteRef/>
      </w:r>
      <w:r w:rsidRPr="002C43F1">
        <w:rPr>
          <w:sz w:val="16"/>
          <w:szCs w:val="16"/>
        </w:rPr>
        <w:t xml:space="preserve"> </w:t>
      </w:r>
      <w:r w:rsidRPr="002C43F1">
        <w:rPr>
          <w:rFonts w:cs="Tahoma"/>
          <w:sz w:val="16"/>
          <w:szCs w:val="16"/>
          <w:lang w:val="es-ES_tradnl"/>
        </w:rPr>
        <w:t xml:space="preserve">Sobre el particular, el numeral 1.2 del Artículo IV del Título Preliminar de </w:t>
      </w:r>
      <w:smartTag w:uri="urn:schemas-microsoft-com:office:smarttags" w:element="PersonName">
        <w:smartTagPr>
          <w:attr w:name="ProductID" w:val="la Ley"/>
        </w:smartTagPr>
        <w:r w:rsidRPr="002C43F1">
          <w:rPr>
            <w:rFonts w:cs="Tahoma"/>
            <w:sz w:val="16"/>
            <w:szCs w:val="16"/>
            <w:lang w:val="es-ES_tradnl"/>
          </w:rPr>
          <w:t>la Ley</w:t>
        </w:r>
      </w:smartTag>
      <w:r w:rsidRPr="002C43F1">
        <w:rPr>
          <w:rFonts w:cs="Tahoma"/>
          <w:sz w:val="16"/>
          <w:szCs w:val="16"/>
          <w:lang w:val="es-ES_tradnl"/>
        </w:rPr>
        <w:t xml:space="preserve"> del  Procedimiento Administrativo General establece que los administrados gozan de todos los derechos y garantías inherentes al debido procedimiento administrativo, que comprende el derecho a exponer sus argumentos, a ofrecer y producir pruebas </w:t>
      </w:r>
      <w:r w:rsidRPr="002C43F1">
        <w:rPr>
          <w:rFonts w:cs="Tahoma"/>
          <w:sz w:val="16"/>
          <w:szCs w:val="16"/>
          <w:u w:val="single"/>
          <w:lang w:val="es-ES_tradnl"/>
        </w:rPr>
        <w:t>y a obtener una decisión motivada y fundada en derecho</w:t>
      </w:r>
      <w:r w:rsidRPr="002C43F1">
        <w:rPr>
          <w:rFonts w:cs="Tahoma"/>
          <w:sz w:val="16"/>
          <w:szCs w:val="16"/>
          <w:lang w:val="es-ES_tradnl"/>
        </w:rPr>
        <w:t xml:space="preserve">. En la misma línea, el numeral 4 del artículo 3 del citado cuerpo legal prescribe que </w:t>
      </w:r>
      <w:r w:rsidRPr="002C43F1">
        <w:rPr>
          <w:rFonts w:cs="Tahoma"/>
          <w:sz w:val="16"/>
          <w:szCs w:val="16"/>
          <w:u w:val="single"/>
          <w:lang w:val="es-ES_tradnl"/>
        </w:rPr>
        <w:t>el acto administrativo debe estar debidamente motivado</w:t>
      </w:r>
      <w:r w:rsidRPr="002C43F1">
        <w:rPr>
          <w:rFonts w:cs="Tahoma"/>
          <w:sz w:val="16"/>
          <w:szCs w:val="16"/>
          <w:lang w:val="es-ES_tradnl"/>
        </w:rPr>
        <w:t xml:space="preserve"> en proporción al contenido y conforme al ordenamiento jurídico.</w:t>
      </w:r>
    </w:p>
    <w:p w:rsidR="00CC1EA4" w:rsidRPr="002C43F1" w:rsidRDefault="00CC1EA4" w:rsidP="00CC1EA4">
      <w:pPr>
        <w:pStyle w:val="Textonotapie"/>
        <w:ind w:left="180" w:hanging="180"/>
        <w:rPr>
          <w:rFonts w:cs="Tahoma"/>
          <w:sz w:val="16"/>
          <w:szCs w:val="16"/>
          <w:lang w:val="es-ES_tradnl"/>
        </w:rPr>
      </w:pPr>
      <w:r w:rsidRPr="002C43F1">
        <w:rPr>
          <w:rFonts w:cs="Tahoma"/>
          <w:sz w:val="16"/>
          <w:szCs w:val="16"/>
          <w:lang w:val="es-ES_tradnl"/>
        </w:rPr>
        <w:t xml:space="preserve"> </w:t>
      </w:r>
    </w:p>
  </w:footnote>
  <w:footnote w:id="6">
    <w:p w:rsidR="00CC1EA4" w:rsidRPr="00BC75D6" w:rsidRDefault="00CC1EA4" w:rsidP="00CC1EA4">
      <w:pPr>
        <w:pStyle w:val="Textonotapie"/>
        <w:ind w:left="180" w:hanging="180"/>
        <w:rPr>
          <w:rFonts w:cs="Tahoma"/>
          <w:sz w:val="18"/>
          <w:szCs w:val="18"/>
          <w:lang w:val="es-ES_tradnl"/>
        </w:rPr>
      </w:pPr>
      <w:r w:rsidRPr="002C43F1">
        <w:rPr>
          <w:rStyle w:val="Refdenotaalpie"/>
          <w:rFonts w:cs="Tahoma"/>
        </w:rPr>
        <w:footnoteRef/>
      </w:r>
      <w:r w:rsidRPr="002C43F1">
        <w:rPr>
          <w:rFonts w:cs="Tahoma"/>
          <w:sz w:val="16"/>
          <w:szCs w:val="16"/>
        </w:rPr>
        <w:t xml:space="preserve">  </w:t>
      </w:r>
      <w:r w:rsidRPr="002C43F1">
        <w:rPr>
          <w:rFonts w:cs="Tahoma"/>
          <w:sz w:val="16"/>
          <w:szCs w:val="16"/>
          <w:lang w:val="es-ES_tradnl"/>
        </w:rPr>
        <w:t xml:space="preserve">Cabe traer a colación el artículo 208 de la Ley № 27444, Ley del Procedimiento Administrativo General, que dispone que el recurso de reconsideración se interpondrá ante el mismo órgano que dictó el acto que es materia de impugnación y </w:t>
      </w:r>
      <w:r w:rsidRPr="002C43F1">
        <w:rPr>
          <w:rFonts w:cs="Tahoma"/>
          <w:sz w:val="16"/>
          <w:szCs w:val="16"/>
          <w:u w:val="single"/>
          <w:lang w:val="es-ES_tradnl"/>
        </w:rPr>
        <w:t>deberá sustentarse en nueva prueba</w:t>
      </w:r>
      <w:r w:rsidRPr="002C43F1">
        <w:rPr>
          <w:rFonts w:cs="Tahoma"/>
          <w:sz w:val="16"/>
          <w:szCs w:val="16"/>
          <w:lang w:val="es-ES_tradn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FEC" w:rsidRDefault="00065FEC" w:rsidP="00065FEC">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065FEC" w:rsidRDefault="00065FEC" w:rsidP="00065FEC">
    <w:pPr>
      <w:pStyle w:val="Encabezado"/>
      <w:rPr>
        <w:noProof/>
      </w:rPr>
    </w:pPr>
  </w:p>
  <w:p w:rsidR="00065FEC" w:rsidRDefault="00065FEC" w:rsidP="00065FEC">
    <w:pPr>
      <w:pStyle w:val="Encabezado"/>
      <w:jc w:val="center"/>
      <w:rPr>
        <w:rFonts w:ascii="Monotype Corsiva" w:hAnsi="Monotype Corsiva"/>
        <w:b/>
        <w:sz w:val="44"/>
        <w:szCs w:val="44"/>
      </w:rPr>
    </w:pPr>
  </w:p>
  <w:p w:rsidR="00065FEC" w:rsidRDefault="00065FEC" w:rsidP="00065FEC">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1289-2011-TC-S1</w:t>
    </w:r>
  </w:p>
  <w:p w:rsidR="00065FEC" w:rsidRDefault="00065FE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1100"/>
    <w:multiLevelType w:val="hybridMultilevel"/>
    <w:tmpl w:val="E3501DDE"/>
    <w:lvl w:ilvl="0" w:tplc="0C0A0017">
      <w:start w:val="1"/>
      <w:numFmt w:val="lowerLetter"/>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
    <w:nsid w:val="094E2944"/>
    <w:multiLevelType w:val="hybridMultilevel"/>
    <w:tmpl w:val="51080654"/>
    <w:lvl w:ilvl="0" w:tplc="110415B6">
      <w:start w:val="1"/>
      <w:numFmt w:val="decimal"/>
      <w:lvlText w:val="%1."/>
      <w:lvlJc w:val="left"/>
      <w:pPr>
        <w:tabs>
          <w:tab w:val="num" w:pos="644"/>
        </w:tabs>
        <w:ind w:left="644" w:hanging="360"/>
      </w:pPr>
      <w:rPr>
        <w:rFonts w:ascii="Tahoma" w:hAnsi="Tahoma" w:cs="Tahoma" w:hint="default"/>
        <w:b/>
        <w:i w:val="0"/>
        <w:shadow/>
        <w:sz w:val="20"/>
        <w:szCs w:val="2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24E642A4"/>
    <w:multiLevelType w:val="hybridMultilevel"/>
    <w:tmpl w:val="B8E84A46"/>
    <w:lvl w:ilvl="0" w:tplc="64C07A18">
      <w:start w:val="1"/>
      <w:numFmt w:val="lowerLetter"/>
      <w:lvlText w:val="%1."/>
      <w:lvlJc w:val="left"/>
      <w:pPr>
        <w:ind w:left="1287" w:hanging="360"/>
      </w:pPr>
    </w:lvl>
    <w:lvl w:ilvl="1" w:tplc="70F2732C" w:tentative="1">
      <w:start w:val="1"/>
      <w:numFmt w:val="lowerLetter"/>
      <w:lvlText w:val="%2."/>
      <w:lvlJc w:val="left"/>
      <w:pPr>
        <w:ind w:left="2007" w:hanging="360"/>
      </w:pPr>
    </w:lvl>
    <w:lvl w:ilvl="2" w:tplc="1068C93C" w:tentative="1">
      <w:start w:val="1"/>
      <w:numFmt w:val="lowerRoman"/>
      <w:lvlText w:val="%3."/>
      <w:lvlJc w:val="right"/>
      <w:pPr>
        <w:ind w:left="2727" w:hanging="180"/>
      </w:pPr>
    </w:lvl>
    <w:lvl w:ilvl="3" w:tplc="213A255C"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30F60E13"/>
    <w:multiLevelType w:val="hybridMultilevel"/>
    <w:tmpl w:val="D39495C2"/>
    <w:lvl w:ilvl="0" w:tplc="BC464342">
      <w:start w:val="1"/>
      <w:numFmt w:val="lowerRoman"/>
      <w:lvlText w:val="%1."/>
      <w:lvlJc w:val="right"/>
      <w:pPr>
        <w:ind w:left="927" w:hanging="360"/>
      </w:pPr>
      <w:rPr>
        <w:rFonts w:hint="default"/>
        <w:b/>
        <w:i w:val="0"/>
        <w:sz w:val="20"/>
        <w:szCs w:val="20"/>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4">
    <w:nsid w:val="353575A8"/>
    <w:multiLevelType w:val="hybridMultilevel"/>
    <w:tmpl w:val="54F0E0A2"/>
    <w:lvl w:ilvl="0" w:tplc="64C07A18">
      <w:start w:val="1"/>
      <w:numFmt w:val="decimal"/>
      <w:lvlText w:val="%1."/>
      <w:lvlJc w:val="left"/>
      <w:pPr>
        <w:ind w:left="360" w:hanging="360"/>
      </w:pPr>
      <w:rPr>
        <w:b/>
      </w:rPr>
    </w:lvl>
    <w:lvl w:ilvl="1" w:tplc="70F2732C" w:tentative="1">
      <w:start w:val="1"/>
      <w:numFmt w:val="lowerLetter"/>
      <w:lvlText w:val="%2."/>
      <w:lvlJc w:val="left"/>
      <w:pPr>
        <w:ind w:left="1080" w:hanging="360"/>
      </w:pPr>
    </w:lvl>
    <w:lvl w:ilvl="2" w:tplc="1068C93C" w:tentative="1">
      <w:start w:val="1"/>
      <w:numFmt w:val="lowerRoman"/>
      <w:lvlText w:val="%3."/>
      <w:lvlJc w:val="right"/>
      <w:pPr>
        <w:ind w:left="1800" w:hanging="180"/>
      </w:pPr>
    </w:lvl>
    <w:lvl w:ilvl="3" w:tplc="213A255C"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nsid w:val="36C13996"/>
    <w:multiLevelType w:val="hybridMultilevel"/>
    <w:tmpl w:val="3940A9BE"/>
    <w:lvl w:ilvl="0" w:tplc="5150BA24">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
    <w:nsid w:val="3B7B237C"/>
    <w:multiLevelType w:val="hybridMultilevel"/>
    <w:tmpl w:val="012444D4"/>
    <w:lvl w:ilvl="0" w:tplc="64C07A18">
      <w:start w:val="1"/>
      <w:numFmt w:val="decimal"/>
      <w:lvlText w:val="%1."/>
      <w:lvlJc w:val="left"/>
      <w:pPr>
        <w:tabs>
          <w:tab w:val="num" w:pos="720"/>
        </w:tabs>
        <w:ind w:left="720" w:hanging="360"/>
      </w:pPr>
      <w:rPr>
        <w:b/>
      </w:rPr>
    </w:lvl>
    <w:lvl w:ilvl="1" w:tplc="70F2732C">
      <w:start w:val="1"/>
      <w:numFmt w:val="lowerLetter"/>
      <w:lvlText w:val="%2."/>
      <w:lvlJc w:val="left"/>
      <w:pPr>
        <w:tabs>
          <w:tab w:val="num" w:pos="1440"/>
        </w:tabs>
        <w:ind w:left="1440" w:hanging="360"/>
      </w:pPr>
    </w:lvl>
    <w:lvl w:ilvl="2" w:tplc="1068C93C">
      <w:start w:val="1"/>
      <w:numFmt w:val="lowerLetter"/>
      <w:lvlText w:val="%3)"/>
      <w:lvlJc w:val="left"/>
      <w:pPr>
        <w:tabs>
          <w:tab w:val="num" w:pos="2340"/>
        </w:tabs>
        <w:ind w:left="2340" w:hanging="360"/>
      </w:pPr>
      <w:rPr>
        <w:rFonts w:hint="default"/>
      </w:rPr>
    </w:lvl>
    <w:lvl w:ilvl="3" w:tplc="213A255C"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0497296"/>
    <w:multiLevelType w:val="hybridMultilevel"/>
    <w:tmpl w:val="C2221798"/>
    <w:lvl w:ilvl="0" w:tplc="64C07A18">
      <w:start w:val="1"/>
      <w:numFmt w:val="lowerLetter"/>
      <w:lvlText w:val="%1)"/>
      <w:lvlJc w:val="left"/>
      <w:pPr>
        <w:ind w:left="1800" w:hanging="360"/>
      </w:pPr>
      <w:rPr>
        <w:b/>
      </w:rPr>
    </w:lvl>
    <w:lvl w:ilvl="1" w:tplc="70F2732C" w:tentative="1">
      <w:start w:val="1"/>
      <w:numFmt w:val="lowerLetter"/>
      <w:lvlText w:val="%2."/>
      <w:lvlJc w:val="left"/>
      <w:pPr>
        <w:ind w:left="2520" w:hanging="360"/>
      </w:pPr>
    </w:lvl>
    <w:lvl w:ilvl="2" w:tplc="1068C93C" w:tentative="1">
      <w:start w:val="1"/>
      <w:numFmt w:val="lowerRoman"/>
      <w:lvlText w:val="%3."/>
      <w:lvlJc w:val="right"/>
      <w:pPr>
        <w:ind w:left="3240" w:hanging="180"/>
      </w:pPr>
    </w:lvl>
    <w:lvl w:ilvl="3" w:tplc="213A255C"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8">
    <w:nsid w:val="452C5B89"/>
    <w:multiLevelType w:val="hybridMultilevel"/>
    <w:tmpl w:val="3940A9BE"/>
    <w:lvl w:ilvl="0" w:tplc="26EEE608">
      <w:start w:val="1"/>
      <w:numFmt w:val="lowerRoman"/>
      <w:lvlText w:val="%1."/>
      <w:lvlJc w:val="right"/>
      <w:pPr>
        <w:ind w:left="1440" w:hanging="360"/>
      </w:pPr>
      <w:rPr>
        <w:b/>
      </w:rPr>
    </w:lvl>
    <w:lvl w:ilvl="1" w:tplc="51769F8C" w:tentative="1">
      <w:start w:val="1"/>
      <w:numFmt w:val="lowerLetter"/>
      <w:lvlText w:val="%2."/>
      <w:lvlJc w:val="left"/>
      <w:pPr>
        <w:ind w:left="2160" w:hanging="360"/>
      </w:pPr>
    </w:lvl>
    <w:lvl w:ilvl="2" w:tplc="3A8094B6" w:tentative="1">
      <w:start w:val="1"/>
      <w:numFmt w:val="lowerRoman"/>
      <w:lvlText w:val="%3."/>
      <w:lvlJc w:val="right"/>
      <w:pPr>
        <w:ind w:left="2880" w:hanging="180"/>
      </w:pPr>
    </w:lvl>
    <w:lvl w:ilvl="3" w:tplc="90AC9E70" w:tentative="1">
      <w:start w:val="1"/>
      <w:numFmt w:val="decimal"/>
      <w:lvlText w:val="%4."/>
      <w:lvlJc w:val="left"/>
      <w:pPr>
        <w:ind w:left="3600" w:hanging="360"/>
      </w:pPr>
    </w:lvl>
    <w:lvl w:ilvl="4" w:tplc="CC1A8702" w:tentative="1">
      <w:start w:val="1"/>
      <w:numFmt w:val="lowerLetter"/>
      <w:lvlText w:val="%5."/>
      <w:lvlJc w:val="left"/>
      <w:pPr>
        <w:ind w:left="4320" w:hanging="360"/>
      </w:pPr>
    </w:lvl>
    <w:lvl w:ilvl="5" w:tplc="D1F68552" w:tentative="1">
      <w:start w:val="1"/>
      <w:numFmt w:val="lowerRoman"/>
      <w:lvlText w:val="%6."/>
      <w:lvlJc w:val="right"/>
      <w:pPr>
        <w:ind w:left="5040" w:hanging="180"/>
      </w:pPr>
    </w:lvl>
    <w:lvl w:ilvl="6" w:tplc="FE76A0E6" w:tentative="1">
      <w:start w:val="1"/>
      <w:numFmt w:val="decimal"/>
      <w:lvlText w:val="%7."/>
      <w:lvlJc w:val="left"/>
      <w:pPr>
        <w:ind w:left="5760" w:hanging="360"/>
      </w:pPr>
    </w:lvl>
    <w:lvl w:ilvl="7" w:tplc="358CA20A" w:tentative="1">
      <w:start w:val="1"/>
      <w:numFmt w:val="lowerLetter"/>
      <w:lvlText w:val="%8."/>
      <w:lvlJc w:val="left"/>
      <w:pPr>
        <w:ind w:left="6480" w:hanging="360"/>
      </w:pPr>
    </w:lvl>
    <w:lvl w:ilvl="8" w:tplc="DC1A7A36" w:tentative="1">
      <w:start w:val="1"/>
      <w:numFmt w:val="lowerRoman"/>
      <w:lvlText w:val="%9."/>
      <w:lvlJc w:val="right"/>
      <w:pPr>
        <w:ind w:left="7200" w:hanging="180"/>
      </w:pPr>
    </w:lvl>
  </w:abstractNum>
  <w:abstractNum w:abstractNumId="9">
    <w:nsid w:val="53B76387"/>
    <w:multiLevelType w:val="hybridMultilevel"/>
    <w:tmpl w:val="B172E634"/>
    <w:lvl w:ilvl="0" w:tplc="F7B2FA96">
      <w:start w:val="1"/>
      <w:numFmt w:val="decimal"/>
      <w:lvlText w:val="%1."/>
      <w:lvlJc w:val="left"/>
      <w:pPr>
        <w:ind w:left="720" w:hanging="360"/>
      </w:pPr>
      <w:rPr>
        <w:rFonts w:ascii="Tahoma" w:hAnsi="Tahoma" w:cs="Tahoma" w:hint="default"/>
        <w:b/>
        <w:i w:val="0"/>
        <w:color w:val="auto"/>
      </w:rPr>
    </w:lvl>
    <w:lvl w:ilvl="1" w:tplc="29FC20E4">
      <w:start w:val="5"/>
      <w:numFmt w:val="upp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4F73FDD"/>
    <w:multiLevelType w:val="hybridMultilevel"/>
    <w:tmpl w:val="015C6C94"/>
    <w:lvl w:ilvl="0" w:tplc="64C07A18">
      <w:start w:val="1"/>
      <w:numFmt w:val="lowerRoman"/>
      <w:lvlText w:val="%1."/>
      <w:lvlJc w:val="right"/>
      <w:pPr>
        <w:tabs>
          <w:tab w:val="num" w:pos="1287"/>
        </w:tabs>
        <w:ind w:left="1287" w:hanging="720"/>
      </w:pPr>
      <w:rPr>
        <w:rFonts w:hint="default"/>
        <w:b/>
        <w:sz w:val="24"/>
        <w:szCs w:val="24"/>
      </w:rPr>
    </w:lvl>
    <w:lvl w:ilvl="1" w:tplc="70F2732C" w:tentative="1">
      <w:start w:val="1"/>
      <w:numFmt w:val="lowerLetter"/>
      <w:lvlText w:val="%2."/>
      <w:lvlJc w:val="left"/>
      <w:pPr>
        <w:tabs>
          <w:tab w:val="num" w:pos="1647"/>
        </w:tabs>
        <w:ind w:left="1647" w:hanging="360"/>
      </w:pPr>
    </w:lvl>
    <w:lvl w:ilvl="2" w:tplc="1068C93C" w:tentative="1">
      <w:start w:val="1"/>
      <w:numFmt w:val="lowerRoman"/>
      <w:lvlText w:val="%3."/>
      <w:lvlJc w:val="right"/>
      <w:pPr>
        <w:tabs>
          <w:tab w:val="num" w:pos="2367"/>
        </w:tabs>
        <w:ind w:left="2367" w:hanging="180"/>
      </w:pPr>
    </w:lvl>
    <w:lvl w:ilvl="3" w:tplc="213A255C"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1">
    <w:nsid w:val="55706F67"/>
    <w:multiLevelType w:val="hybridMultilevel"/>
    <w:tmpl w:val="C0589430"/>
    <w:lvl w:ilvl="0" w:tplc="64C07A18">
      <w:start w:val="1"/>
      <w:numFmt w:val="decimal"/>
      <w:lvlText w:val="%1."/>
      <w:lvlJc w:val="left"/>
      <w:pPr>
        <w:tabs>
          <w:tab w:val="num" w:pos="720"/>
        </w:tabs>
        <w:ind w:left="720" w:hanging="360"/>
      </w:pPr>
      <w:rPr>
        <w:rFonts w:hint="default"/>
      </w:rPr>
    </w:lvl>
    <w:lvl w:ilvl="1" w:tplc="70F2732C" w:tentative="1">
      <w:start w:val="1"/>
      <w:numFmt w:val="lowerLetter"/>
      <w:lvlText w:val="%2."/>
      <w:lvlJc w:val="left"/>
      <w:pPr>
        <w:tabs>
          <w:tab w:val="num" w:pos="1440"/>
        </w:tabs>
        <w:ind w:left="1440" w:hanging="360"/>
      </w:pPr>
    </w:lvl>
    <w:lvl w:ilvl="2" w:tplc="1068C93C" w:tentative="1">
      <w:start w:val="1"/>
      <w:numFmt w:val="lowerRoman"/>
      <w:lvlText w:val="%3."/>
      <w:lvlJc w:val="right"/>
      <w:pPr>
        <w:tabs>
          <w:tab w:val="num" w:pos="2160"/>
        </w:tabs>
        <w:ind w:left="2160" w:hanging="180"/>
      </w:pPr>
    </w:lvl>
    <w:lvl w:ilvl="3" w:tplc="213A255C"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5ACC101E"/>
    <w:multiLevelType w:val="hybridMultilevel"/>
    <w:tmpl w:val="1DCCA2AC"/>
    <w:lvl w:ilvl="0" w:tplc="0C0A0019">
      <w:start w:val="1"/>
      <w:numFmt w:val="lowerRoman"/>
      <w:lvlText w:val="%1."/>
      <w:lvlJc w:val="right"/>
      <w:pPr>
        <w:ind w:left="1004" w:hanging="360"/>
      </w:pPr>
      <w:rPr>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3">
    <w:nsid w:val="5B7855B0"/>
    <w:multiLevelType w:val="hybridMultilevel"/>
    <w:tmpl w:val="32E6EDA2"/>
    <w:lvl w:ilvl="0" w:tplc="C78A915A">
      <w:start w:val="1"/>
      <w:numFmt w:val="lowerLetter"/>
      <w:lvlText w:val="%1)"/>
      <w:lvlJc w:val="left"/>
      <w:pPr>
        <w:ind w:left="3280" w:hanging="360"/>
      </w:pPr>
      <w:rPr>
        <w:rFonts w:hint="default"/>
        <w:b/>
        <w:i w:val="0"/>
        <w:lang w:val="es-ES"/>
      </w:rPr>
    </w:lvl>
    <w:lvl w:ilvl="1" w:tplc="0C0A0019" w:tentative="1">
      <w:start w:val="1"/>
      <w:numFmt w:val="lowerLetter"/>
      <w:lvlText w:val="%2."/>
      <w:lvlJc w:val="left"/>
      <w:pPr>
        <w:ind w:left="4000" w:hanging="360"/>
      </w:pPr>
    </w:lvl>
    <w:lvl w:ilvl="2" w:tplc="0C0A001B" w:tentative="1">
      <w:start w:val="1"/>
      <w:numFmt w:val="lowerRoman"/>
      <w:lvlText w:val="%3."/>
      <w:lvlJc w:val="right"/>
      <w:pPr>
        <w:ind w:left="4720" w:hanging="180"/>
      </w:pPr>
    </w:lvl>
    <w:lvl w:ilvl="3" w:tplc="0C0A000F" w:tentative="1">
      <w:start w:val="1"/>
      <w:numFmt w:val="decimal"/>
      <w:lvlText w:val="%4."/>
      <w:lvlJc w:val="left"/>
      <w:pPr>
        <w:ind w:left="5440" w:hanging="360"/>
      </w:pPr>
    </w:lvl>
    <w:lvl w:ilvl="4" w:tplc="0C0A0019" w:tentative="1">
      <w:start w:val="1"/>
      <w:numFmt w:val="lowerLetter"/>
      <w:lvlText w:val="%5."/>
      <w:lvlJc w:val="left"/>
      <w:pPr>
        <w:ind w:left="6160" w:hanging="360"/>
      </w:pPr>
    </w:lvl>
    <w:lvl w:ilvl="5" w:tplc="0C0A001B" w:tentative="1">
      <w:start w:val="1"/>
      <w:numFmt w:val="lowerRoman"/>
      <w:lvlText w:val="%6."/>
      <w:lvlJc w:val="right"/>
      <w:pPr>
        <w:ind w:left="6880" w:hanging="180"/>
      </w:pPr>
    </w:lvl>
    <w:lvl w:ilvl="6" w:tplc="0C0A000F" w:tentative="1">
      <w:start w:val="1"/>
      <w:numFmt w:val="decimal"/>
      <w:lvlText w:val="%7."/>
      <w:lvlJc w:val="left"/>
      <w:pPr>
        <w:ind w:left="7600" w:hanging="360"/>
      </w:pPr>
    </w:lvl>
    <w:lvl w:ilvl="7" w:tplc="0C0A0019" w:tentative="1">
      <w:start w:val="1"/>
      <w:numFmt w:val="lowerLetter"/>
      <w:lvlText w:val="%8."/>
      <w:lvlJc w:val="left"/>
      <w:pPr>
        <w:ind w:left="8320" w:hanging="360"/>
      </w:pPr>
    </w:lvl>
    <w:lvl w:ilvl="8" w:tplc="0C0A001B" w:tentative="1">
      <w:start w:val="1"/>
      <w:numFmt w:val="lowerRoman"/>
      <w:lvlText w:val="%9."/>
      <w:lvlJc w:val="right"/>
      <w:pPr>
        <w:ind w:left="9040" w:hanging="180"/>
      </w:pPr>
    </w:lvl>
  </w:abstractNum>
  <w:abstractNum w:abstractNumId="14">
    <w:nsid w:val="5E193018"/>
    <w:multiLevelType w:val="hybridMultilevel"/>
    <w:tmpl w:val="CC50CAA0"/>
    <w:lvl w:ilvl="0" w:tplc="B1187586">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nsid w:val="5E1931F5"/>
    <w:multiLevelType w:val="hybridMultilevel"/>
    <w:tmpl w:val="91FA9AB2"/>
    <w:lvl w:ilvl="0" w:tplc="0D7EF60A">
      <w:start w:val="1"/>
      <w:numFmt w:val="decimal"/>
      <w:lvlText w:val="%1."/>
      <w:lvlJc w:val="left"/>
      <w:pPr>
        <w:tabs>
          <w:tab w:val="num" w:pos="360"/>
        </w:tabs>
        <w:ind w:left="360" w:hanging="360"/>
      </w:pPr>
      <w:rPr>
        <w:rFonts w:ascii="Tahoma" w:hAnsi="Tahoma" w:cs="Tahoma" w:hint="default"/>
        <w:b/>
        <w:sz w:val="20"/>
        <w:szCs w:val="20"/>
      </w:rPr>
    </w:lvl>
    <w:lvl w:ilvl="1" w:tplc="0C0A0019">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616122C0"/>
    <w:multiLevelType w:val="hybridMultilevel"/>
    <w:tmpl w:val="22E2C15A"/>
    <w:lvl w:ilvl="0" w:tplc="0C0A0015">
      <w:start w:val="1"/>
      <w:numFmt w:val="lowerLetter"/>
      <w:lvlText w:val="%1)"/>
      <w:lvlJc w:val="lef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nsid w:val="653B5A99"/>
    <w:multiLevelType w:val="hybridMultilevel"/>
    <w:tmpl w:val="7B980FA0"/>
    <w:lvl w:ilvl="0" w:tplc="250A74F8">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65FE0EBD"/>
    <w:multiLevelType w:val="hybridMultilevel"/>
    <w:tmpl w:val="3D043226"/>
    <w:lvl w:ilvl="0" w:tplc="506A8BE4">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9">
    <w:nsid w:val="66D30A47"/>
    <w:multiLevelType w:val="hybridMultilevel"/>
    <w:tmpl w:val="DAC09874"/>
    <w:lvl w:ilvl="0" w:tplc="330CB458">
      <w:start w:val="1"/>
      <w:numFmt w:val="decimal"/>
      <w:lvlText w:val="%1."/>
      <w:lvlJc w:val="left"/>
      <w:pPr>
        <w:ind w:left="720" w:hanging="360"/>
      </w:pPr>
      <w:rPr>
        <w:rFonts w:hint="default"/>
        <w:b/>
        <w:shadow/>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6EA50FF8"/>
    <w:multiLevelType w:val="hybridMultilevel"/>
    <w:tmpl w:val="942E561C"/>
    <w:lvl w:ilvl="0" w:tplc="E5BE6922">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6ED82661"/>
    <w:multiLevelType w:val="hybridMultilevel"/>
    <w:tmpl w:val="951AA452"/>
    <w:lvl w:ilvl="0" w:tplc="46B4D042">
      <w:start w:val="1"/>
      <w:numFmt w:val="lowerLetter"/>
      <w:lvlText w:val="%1."/>
      <w:lvlJc w:val="left"/>
      <w:pPr>
        <w:tabs>
          <w:tab w:val="num" w:pos="1440"/>
        </w:tabs>
        <w:ind w:left="1440" w:hanging="360"/>
      </w:pPr>
      <w:rPr>
        <w:b/>
      </w:rPr>
    </w:lvl>
    <w:lvl w:ilvl="1" w:tplc="0C0A0019">
      <w:start w:val="1"/>
      <w:numFmt w:val="lowerLetter"/>
      <w:lvlText w:val="%2."/>
      <w:lvlJc w:val="left"/>
      <w:pPr>
        <w:tabs>
          <w:tab w:val="num" w:pos="1440"/>
        </w:tabs>
        <w:ind w:left="1440" w:hanging="360"/>
      </w:pPr>
    </w:lvl>
    <w:lvl w:ilvl="2" w:tplc="61B4AD0E">
      <w:start w:val="1"/>
      <w:numFmt w:val="decimal"/>
      <w:lvlText w:val="%3."/>
      <w:lvlJc w:val="left"/>
      <w:pPr>
        <w:tabs>
          <w:tab w:val="num" w:pos="2340"/>
        </w:tabs>
        <w:ind w:left="2340" w:hanging="360"/>
      </w:pPr>
      <w:rPr>
        <w:rFonts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384599B"/>
    <w:multiLevelType w:val="hybridMultilevel"/>
    <w:tmpl w:val="8D5EC736"/>
    <w:lvl w:ilvl="0" w:tplc="F5C055C0">
      <w:start w:val="1"/>
      <w:numFmt w:val="lowerLetter"/>
      <w:lvlText w:val="%1."/>
      <w:lvlJc w:val="left"/>
      <w:pPr>
        <w:ind w:left="1287" w:hanging="360"/>
      </w:pPr>
    </w:lvl>
    <w:lvl w:ilvl="1" w:tplc="0C0A0019">
      <w:start w:val="1"/>
      <w:numFmt w:val="decimal"/>
      <w:lvlText w:val="%2."/>
      <w:lvlJc w:val="left"/>
      <w:pPr>
        <w:tabs>
          <w:tab w:val="num" w:pos="1440"/>
        </w:tabs>
        <w:ind w:left="1440" w:hanging="360"/>
      </w:pPr>
    </w:lvl>
    <w:lvl w:ilvl="2" w:tplc="709221C6">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3">
    <w:nsid w:val="742A4401"/>
    <w:multiLevelType w:val="hybridMultilevel"/>
    <w:tmpl w:val="9FB8DAE2"/>
    <w:lvl w:ilvl="0" w:tplc="430EC130">
      <w:start w:val="1"/>
      <w:numFmt w:val="decimal"/>
      <w:lvlText w:val="%1."/>
      <w:lvlJc w:val="left"/>
      <w:pPr>
        <w:ind w:left="1287" w:hanging="360"/>
      </w:pPr>
      <w:rPr>
        <w:rFonts w:ascii="Tahoma" w:hAnsi="Tahoma" w:cs="Tahoma" w:hint="default"/>
        <w:b/>
        <w:sz w:val="20"/>
        <w:szCs w:val="20"/>
      </w:rPr>
    </w:lvl>
    <w:lvl w:ilvl="1" w:tplc="C8DE6CEA">
      <w:start w:val="1"/>
      <w:numFmt w:val="lowerLetter"/>
      <w:lvlText w:val="%2)"/>
      <w:lvlJc w:val="left"/>
      <w:pPr>
        <w:tabs>
          <w:tab w:val="num" w:pos="2007"/>
        </w:tabs>
        <w:ind w:left="2007" w:hanging="360"/>
      </w:pPr>
      <w:rPr>
        <w:rFonts w:hint="default"/>
        <w:b/>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4">
    <w:nsid w:val="77041A0B"/>
    <w:multiLevelType w:val="hybridMultilevel"/>
    <w:tmpl w:val="0624DA72"/>
    <w:lvl w:ilvl="0" w:tplc="0C0A000F">
      <w:start w:val="1"/>
      <w:numFmt w:val="lowerLetter"/>
      <w:lvlText w:val="%1)"/>
      <w:lvlJc w:val="left"/>
      <w:pPr>
        <w:ind w:left="1571" w:hanging="360"/>
      </w:pPr>
      <w:rPr>
        <w:rFonts w:hint="default"/>
        <w:b/>
        <w:lang w:val="es-ES"/>
      </w:rPr>
    </w:lvl>
    <w:lvl w:ilvl="1" w:tplc="0C0A0019" w:tentative="1">
      <w:start w:val="1"/>
      <w:numFmt w:val="lowerLetter"/>
      <w:lvlText w:val="%2."/>
      <w:lvlJc w:val="left"/>
      <w:pPr>
        <w:ind w:left="2291" w:hanging="360"/>
      </w:pPr>
    </w:lvl>
    <w:lvl w:ilvl="2" w:tplc="0C0A001B">
      <w:start w:val="1"/>
      <w:numFmt w:val="lowerRoman"/>
      <w:lvlText w:val="%3."/>
      <w:lvlJc w:val="right"/>
      <w:pPr>
        <w:ind w:left="3011" w:hanging="180"/>
      </w:pPr>
    </w:lvl>
    <w:lvl w:ilvl="3" w:tplc="0C0A000F" w:tentative="1">
      <w:start w:val="1"/>
      <w:numFmt w:val="decimal"/>
      <w:lvlText w:val="%4."/>
      <w:lvlJc w:val="left"/>
      <w:pPr>
        <w:ind w:left="3731" w:hanging="360"/>
      </w:pPr>
    </w:lvl>
    <w:lvl w:ilvl="4" w:tplc="0C0A0019" w:tentative="1">
      <w:start w:val="1"/>
      <w:numFmt w:val="lowerLetter"/>
      <w:lvlText w:val="%5."/>
      <w:lvlJc w:val="left"/>
      <w:pPr>
        <w:ind w:left="4451" w:hanging="360"/>
      </w:pPr>
    </w:lvl>
    <w:lvl w:ilvl="5" w:tplc="0C0A001B" w:tentative="1">
      <w:start w:val="1"/>
      <w:numFmt w:val="lowerRoman"/>
      <w:lvlText w:val="%6."/>
      <w:lvlJc w:val="right"/>
      <w:pPr>
        <w:ind w:left="5171" w:hanging="180"/>
      </w:pPr>
    </w:lvl>
    <w:lvl w:ilvl="6" w:tplc="0C0A000F" w:tentative="1">
      <w:start w:val="1"/>
      <w:numFmt w:val="decimal"/>
      <w:lvlText w:val="%7."/>
      <w:lvlJc w:val="left"/>
      <w:pPr>
        <w:ind w:left="5891" w:hanging="360"/>
      </w:pPr>
    </w:lvl>
    <w:lvl w:ilvl="7" w:tplc="0C0A0019" w:tentative="1">
      <w:start w:val="1"/>
      <w:numFmt w:val="lowerLetter"/>
      <w:lvlText w:val="%8."/>
      <w:lvlJc w:val="left"/>
      <w:pPr>
        <w:ind w:left="6611" w:hanging="360"/>
      </w:pPr>
    </w:lvl>
    <w:lvl w:ilvl="8" w:tplc="0C0A001B" w:tentative="1">
      <w:start w:val="1"/>
      <w:numFmt w:val="lowerRoman"/>
      <w:lvlText w:val="%9."/>
      <w:lvlJc w:val="right"/>
      <w:pPr>
        <w:ind w:left="7331" w:hanging="180"/>
      </w:pPr>
    </w:lvl>
  </w:abstractNum>
  <w:abstractNum w:abstractNumId="25">
    <w:nsid w:val="7DB72651"/>
    <w:multiLevelType w:val="hybridMultilevel"/>
    <w:tmpl w:val="72B06E10"/>
    <w:lvl w:ilvl="0" w:tplc="0C0A001B">
      <w:start w:val="1"/>
      <w:numFmt w:val="bullet"/>
      <w:lvlText w:val="−"/>
      <w:lvlJc w:val="left"/>
      <w:pPr>
        <w:tabs>
          <w:tab w:val="num" w:pos="1965"/>
        </w:tabs>
        <w:ind w:left="1965" w:hanging="360"/>
      </w:pPr>
      <w:rPr>
        <w:rFonts w:ascii="Times New Roman" w:eastAsia="Times New Roman" w:hAnsi="Times New Roman" w:cs="Times New Roman" w:hint="default"/>
      </w:rPr>
    </w:lvl>
    <w:lvl w:ilvl="1" w:tplc="0C0A0019">
      <w:start w:val="3"/>
      <w:numFmt w:val="upperRoman"/>
      <w:lvlText w:val="%2."/>
      <w:lvlJc w:val="left"/>
      <w:pPr>
        <w:tabs>
          <w:tab w:val="num" w:pos="1800"/>
        </w:tabs>
        <w:ind w:left="1800" w:hanging="720"/>
      </w:pPr>
      <w:rPr>
        <w:rFonts w:hint="default"/>
        <w:b w:val="0"/>
      </w:rPr>
    </w:lvl>
    <w:lvl w:ilvl="2" w:tplc="0C0A001B">
      <w:start w:val="1"/>
      <w:numFmt w:val="decimal"/>
      <w:lvlText w:val="3.%3"/>
      <w:lvlJc w:val="left"/>
      <w:pPr>
        <w:tabs>
          <w:tab w:val="num" w:pos="2160"/>
        </w:tabs>
        <w:ind w:left="2160" w:hanging="360"/>
      </w:pPr>
      <w:rPr>
        <w:rFonts w:hint="default"/>
      </w:rPr>
    </w:lvl>
    <w:lvl w:ilvl="3" w:tplc="0C0A000F">
      <w:start w:val="1"/>
      <w:numFmt w:val="bullet"/>
      <w:lvlText w:val=""/>
      <w:lvlJc w:val="left"/>
      <w:pPr>
        <w:tabs>
          <w:tab w:val="num" w:pos="2880"/>
        </w:tabs>
        <w:ind w:left="2880" w:hanging="360"/>
      </w:pPr>
      <w:rPr>
        <w:rFonts w:ascii="Symbol" w:hAnsi="Symbol" w:hint="default"/>
      </w:rPr>
    </w:lvl>
    <w:lvl w:ilvl="4" w:tplc="0C0A0019">
      <w:start w:val="1"/>
      <w:numFmt w:val="decimal"/>
      <w:lvlText w:val="%5"/>
      <w:lvlJc w:val="left"/>
      <w:pPr>
        <w:ind w:left="3600" w:hanging="360"/>
      </w:pPr>
      <w:rPr>
        <w:rFonts w:hint="default"/>
      </w:rPr>
    </w:lvl>
    <w:lvl w:ilvl="5" w:tplc="0C0A001B">
      <w:start w:val="1"/>
      <w:numFmt w:val="decimal"/>
      <w:lvlText w:val="%6."/>
      <w:lvlJc w:val="left"/>
      <w:pPr>
        <w:ind w:left="4320" w:hanging="360"/>
      </w:pPr>
      <w:rPr>
        <w:rFonts w:hint="default"/>
      </w:rPr>
    </w:lvl>
    <w:lvl w:ilvl="6" w:tplc="0C0A000F">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26">
    <w:nsid w:val="7EC759A6"/>
    <w:multiLevelType w:val="hybridMultilevel"/>
    <w:tmpl w:val="1B886FE6"/>
    <w:lvl w:ilvl="0" w:tplc="EEE8C01E">
      <w:start w:val="1"/>
      <w:numFmt w:val="decimal"/>
      <w:lvlText w:val="%1."/>
      <w:lvlJc w:val="left"/>
      <w:pPr>
        <w:tabs>
          <w:tab w:val="num" w:pos="360"/>
        </w:tabs>
        <w:ind w:left="360" w:hanging="360"/>
      </w:pPr>
      <w:rPr>
        <w:b/>
      </w:rPr>
    </w:lvl>
    <w:lvl w:ilvl="1" w:tplc="0C0A0019">
      <w:start w:val="1"/>
      <w:numFmt w:val="lowerLetter"/>
      <w:lvlText w:val="%2."/>
      <w:lvlJc w:val="left"/>
      <w:pPr>
        <w:tabs>
          <w:tab w:val="num" w:pos="1080"/>
        </w:tabs>
        <w:ind w:left="108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23"/>
  </w:num>
  <w:num w:numId="2">
    <w:abstractNumId w:val="15"/>
  </w:num>
  <w:num w:numId="3">
    <w:abstractNumId w:val="4"/>
  </w:num>
  <w:num w:numId="4">
    <w:abstractNumId w:val="6"/>
  </w:num>
  <w:num w:numId="5">
    <w:abstractNumId w:val="1"/>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 w:numId="10">
    <w:abstractNumId w:val="10"/>
  </w:num>
  <w:num w:numId="11">
    <w:abstractNumId w:val="11"/>
  </w:num>
  <w:num w:numId="12">
    <w:abstractNumId w:val="24"/>
  </w:num>
  <w:num w:numId="13">
    <w:abstractNumId w:val="17"/>
  </w:num>
  <w:num w:numId="14">
    <w:abstractNumId w:val="12"/>
  </w:num>
  <w:num w:numId="15">
    <w:abstractNumId w:val="21"/>
  </w:num>
  <w:num w:numId="16">
    <w:abstractNumId w:val="3"/>
  </w:num>
  <w:num w:numId="17">
    <w:abstractNumId w:val="19"/>
  </w:num>
  <w:num w:numId="18">
    <w:abstractNumId w:val="26"/>
  </w:num>
  <w:num w:numId="19">
    <w:abstractNumId w:val="14"/>
  </w:num>
  <w:num w:numId="20">
    <w:abstractNumId w:val="16"/>
  </w:num>
  <w:num w:numId="21">
    <w:abstractNumId w:val="9"/>
  </w:num>
  <w:num w:numId="22">
    <w:abstractNumId w:val="0"/>
  </w:num>
  <w:num w:numId="23">
    <w:abstractNumId w:val="20"/>
  </w:num>
  <w:num w:numId="24">
    <w:abstractNumId w:val="8"/>
  </w:num>
  <w:num w:numId="25">
    <w:abstractNumId w:val="5"/>
  </w:num>
  <w:num w:numId="26">
    <w:abstractNumId w:val="13"/>
  </w:num>
  <w:num w:numId="27">
    <w:abstractNumId w:val="25"/>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2530"/>
  </w:hdrShapeDefaults>
  <w:footnotePr>
    <w:footnote w:id="0"/>
    <w:footnote w:id="1"/>
  </w:footnotePr>
  <w:endnotePr>
    <w:endnote w:id="0"/>
    <w:endnote w:id="1"/>
  </w:endnotePr>
  <w:compat/>
  <w:rsids>
    <w:rsidRoot w:val="00711297"/>
    <w:rsid w:val="000070EB"/>
    <w:rsid w:val="000115B4"/>
    <w:rsid w:val="00015440"/>
    <w:rsid w:val="0005281E"/>
    <w:rsid w:val="00065FEC"/>
    <w:rsid w:val="00066E33"/>
    <w:rsid w:val="000A3CD2"/>
    <w:rsid w:val="000B0720"/>
    <w:rsid w:val="000B6FEB"/>
    <w:rsid w:val="000E01D1"/>
    <w:rsid w:val="00101193"/>
    <w:rsid w:val="00141BCC"/>
    <w:rsid w:val="00142B7D"/>
    <w:rsid w:val="00162FCA"/>
    <w:rsid w:val="0016735A"/>
    <w:rsid w:val="001D3315"/>
    <w:rsid w:val="001D57DE"/>
    <w:rsid w:val="001D728A"/>
    <w:rsid w:val="001E6A70"/>
    <w:rsid w:val="001F190A"/>
    <w:rsid w:val="001F38BE"/>
    <w:rsid w:val="002078ED"/>
    <w:rsid w:val="00212795"/>
    <w:rsid w:val="002401C1"/>
    <w:rsid w:val="002578D8"/>
    <w:rsid w:val="002630C3"/>
    <w:rsid w:val="002641FC"/>
    <w:rsid w:val="00275158"/>
    <w:rsid w:val="00277B64"/>
    <w:rsid w:val="0029262B"/>
    <w:rsid w:val="002D1AB4"/>
    <w:rsid w:val="00303817"/>
    <w:rsid w:val="00305D8E"/>
    <w:rsid w:val="003129E0"/>
    <w:rsid w:val="00332D11"/>
    <w:rsid w:val="0036432D"/>
    <w:rsid w:val="003B5386"/>
    <w:rsid w:val="003F28DF"/>
    <w:rsid w:val="0041002F"/>
    <w:rsid w:val="0041279D"/>
    <w:rsid w:val="004156B9"/>
    <w:rsid w:val="00423DAB"/>
    <w:rsid w:val="00431A1D"/>
    <w:rsid w:val="00452C37"/>
    <w:rsid w:val="00491A1B"/>
    <w:rsid w:val="00494A73"/>
    <w:rsid w:val="00496C81"/>
    <w:rsid w:val="004A2F3F"/>
    <w:rsid w:val="004C393D"/>
    <w:rsid w:val="004D2DDC"/>
    <w:rsid w:val="004E2E93"/>
    <w:rsid w:val="004E4CAE"/>
    <w:rsid w:val="004F1A48"/>
    <w:rsid w:val="00516EC6"/>
    <w:rsid w:val="00554A3C"/>
    <w:rsid w:val="005673D8"/>
    <w:rsid w:val="005757F4"/>
    <w:rsid w:val="005811F4"/>
    <w:rsid w:val="0060046F"/>
    <w:rsid w:val="00624E18"/>
    <w:rsid w:val="00661593"/>
    <w:rsid w:val="00665EE9"/>
    <w:rsid w:val="006976B0"/>
    <w:rsid w:val="006B65BB"/>
    <w:rsid w:val="006C3078"/>
    <w:rsid w:val="006D0EE9"/>
    <w:rsid w:val="007007F0"/>
    <w:rsid w:val="00711297"/>
    <w:rsid w:val="0071610B"/>
    <w:rsid w:val="0077221D"/>
    <w:rsid w:val="007728C3"/>
    <w:rsid w:val="00792EBF"/>
    <w:rsid w:val="007C19F1"/>
    <w:rsid w:val="007D15DD"/>
    <w:rsid w:val="007D2B93"/>
    <w:rsid w:val="00806BF2"/>
    <w:rsid w:val="00806C06"/>
    <w:rsid w:val="00811526"/>
    <w:rsid w:val="008205CC"/>
    <w:rsid w:val="00822F18"/>
    <w:rsid w:val="00831F2B"/>
    <w:rsid w:val="00857463"/>
    <w:rsid w:val="00871316"/>
    <w:rsid w:val="0087374F"/>
    <w:rsid w:val="00877F0D"/>
    <w:rsid w:val="00893198"/>
    <w:rsid w:val="008B56B1"/>
    <w:rsid w:val="009269B4"/>
    <w:rsid w:val="00986843"/>
    <w:rsid w:val="009871D2"/>
    <w:rsid w:val="009B4922"/>
    <w:rsid w:val="009C3AD8"/>
    <w:rsid w:val="009C7372"/>
    <w:rsid w:val="00A00959"/>
    <w:rsid w:val="00A01498"/>
    <w:rsid w:val="00A23794"/>
    <w:rsid w:val="00A43A67"/>
    <w:rsid w:val="00A460D5"/>
    <w:rsid w:val="00A50577"/>
    <w:rsid w:val="00A539DF"/>
    <w:rsid w:val="00AD56A4"/>
    <w:rsid w:val="00AE0354"/>
    <w:rsid w:val="00AE30EA"/>
    <w:rsid w:val="00AE34F7"/>
    <w:rsid w:val="00AE4C07"/>
    <w:rsid w:val="00B05429"/>
    <w:rsid w:val="00B17CAB"/>
    <w:rsid w:val="00B326B5"/>
    <w:rsid w:val="00B327B4"/>
    <w:rsid w:val="00B858AE"/>
    <w:rsid w:val="00BD1EAF"/>
    <w:rsid w:val="00BE0C34"/>
    <w:rsid w:val="00BF2EF7"/>
    <w:rsid w:val="00BF6919"/>
    <w:rsid w:val="00C156F5"/>
    <w:rsid w:val="00C345ED"/>
    <w:rsid w:val="00C3613C"/>
    <w:rsid w:val="00C46DE3"/>
    <w:rsid w:val="00C525B4"/>
    <w:rsid w:val="00C6431F"/>
    <w:rsid w:val="00C737FA"/>
    <w:rsid w:val="00C92BDE"/>
    <w:rsid w:val="00C930B1"/>
    <w:rsid w:val="00CC02FE"/>
    <w:rsid w:val="00CC1EA4"/>
    <w:rsid w:val="00CE3EE9"/>
    <w:rsid w:val="00CF03C7"/>
    <w:rsid w:val="00D2156E"/>
    <w:rsid w:val="00D57DAE"/>
    <w:rsid w:val="00D63ECF"/>
    <w:rsid w:val="00D75CB2"/>
    <w:rsid w:val="00D83E6E"/>
    <w:rsid w:val="00DA1F89"/>
    <w:rsid w:val="00DD0EB3"/>
    <w:rsid w:val="00E02E9E"/>
    <w:rsid w:val="00E376A0"/>
    <w:rsid w:val="00E53BE0"/>
    <w:rsid w:val="00E92B54"/>
    <w:rsid w:val="00E949AC"/>
    <w:rsid w:val="00EA1648"/>
    <w:rsid w:val="00EA5F27"/>
    <w:rsid w:val="00EB60D5"/>
    <w:rsid w:val="00EC725E"/>
    <w:rsid w:val="00EE0B96"/>
    <w:rsid w:val="00EF150F"/>
    <w:rsid w:val="00F179DB"/>
    <w:rsid w:val="00F30719"/>
    <w:rsid w:val="00F543DD"/>
    <w:rsid w:val="00F81266"/>
    <w:rsid w:val="00FA55CE"/>
    <w:rsid w:val="00FE18D9"/>
    <w:rsid w:val="00FE6DDC"/>
    <w:rsid w:val="00FF747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297"/>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711297"/>
    <w:pPr>
      <w:spacing w:after="120"/>
    </w:pPr>
    <w:rPr>
      <w:sz w:val="16"/>
      <w:szCs w:val="16"/>
      <w:lang w:val="es-PE"/>
    </w:rPr>
  </w:style>
  <w:style w:type="character" w:customStyle="1" w:styleId="Textoindependiente3Car">
    <w:name w:val="Texto independiente 3 Car"/>
    <w:basedOn w:val="Fuentedeprrafopredeter"/>
    <w:link w:val="Textoindependiente3"/>
    <w:rsid w:val="00711297"/>
    <w:rPr>
      <w:rFonts w:ascii="Times New Roman" w:eastAsia="Times New Roman" w:hAnsi="Times New Roman" w:cs="Times New Roman"/>
      <w:sz w:val="16"/>
      <w:szCs w:val="16"/>
      <w:lang w:val="es-PE" w:eastAsia="es-ES"/>
    </w:rPr>
  </w:style>
  <w:style w:type="paragraph" w:styleId="Prrafodelista">
    <w:name w:val="List Paragraph"/>
    <w:basedOn w:val="Normal"/>
    <w:qFormat/>
    <w:rsid w:val="00711297"/>
    <w:pPr>
      <w:ind w:left="720"/>
      <w:contextualSpacing/>
    </w:pPr>
  </w:style>
  <w:style w:type="paragraph" w:styleId="Textonotapie">
    <w:name w:val="footnote text"/>
    <w:aliases w:val=" Car,Car,Car Car,Car Car Car,Texto nota pie1, Car4,Car4,Body Text, Car2 Car Car Car Car Car, Car2 Car, Car2, Car1 Car,Car1 Car, Car2 Car1 Car, Car1,Car2 Car Car Car Car Car,Car2 Car Car,Car2 Car,Car2 Car Car Car Car Car Car, Car Car Car"/>
    <w:basedOn w:val="Normal"/>
    <w:link w:val="TextonotapieCar"/>
    <w:rsid w:val="00711297"/>
    <w:rPr>
      <w:sz w:val="20"/>
      <w:szCs w:val="20"/>
    </w:rPr>
  </w:style>
  <w:style w:type="character" w:customStyle="1" w:styleId="TextonotapieCar">
    <w:name w:val="Texto nota pie Car"/>
    <w:aliases w:val=" Car Car,Car Car1,Car Car Car1,Car Car Car Car,Texto nota pie1 Car, Car4 Car,Car4 Car,Body Text Car, Car2 Car Car Car Car Car Car, Car2 Car Car, Car2 Car1, Car1 Car Car,Car1 Car Car, Car2 Car1 Car Car, Car1 Car1,Car2 Car Car Car"/>
    <w:basedOn w:val="Fuentedeprrafopredeter"/>
    <w:link w:val="Textonotapie"/>
    <w:rsid w:val="00711297"/>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711297"/>
    <w:rPr>
      <w:rFonts w:cs="Times New Roman"/>
      <w:vertAlign w:val="superscript"/>
    </w:rPr>
  </w:style>
  <w:style w:type="paragraph" w:styleId="Sinespaciado">
    <w:name w:val="No Spacing"/>
    <w:uiPriority w:val="1"/>
    <w:qFormat/>
    <w:rsid w:val="00711297"/>
    <w:pPr>
      <w:spacing w:after="0" w:line="240" w:lineRule="auto"/>
    </w:pPr>
    <w:rPr>
      <w:rFonts w:ascii="Calibri" w:eastAsia="Calibri" w:hAnsi="Calibri" w:cs="Times New Roman"/>
    </w:rPr>
  </w:style>
  <w:style w:type="paragraph" w:customStyle="1" w:styleId="Textoindependiente21">
    <w:name w:val="Texto independiente 21"/>
    <w:basedOn w:val="Normal"/>
    <w:rsid w:val="00711297"/>
    <w:pPr>
      <w:jc w:val="both"/>
    </w:pPr>
    <w:rPr>
      <w:rFonts w:ascii="Tahoma" w:hAnsi="Tahoma"/>
      <w:sz w:val="22"/>
      <w:szCs w:val="20"/>
    </w:rPr>
  </w:style>
  <w:style w:type="paragraph" w:styleId="Piedepgina">
    <w:name w:val="footer"/>
    <w:basedOn w:val="Normal"/>
    <w:link w:val="PiedepginaCar"/>
    <w:uiPriority w:val="99"/>
    <w:unhideWhenUsed/>
    <w:rsid w:val="00711297"/>
    <w:pPr>
      <w:tabs>
        <w:tab w:val="center" w:pos="4252"/>
        <w:tab w:val="right" w:pos="8504"/>
      </w:tabs>
    </w:pPr>
  </w:style>
  <w:style w:type="character" w:customStyle="1" w:styleId="PiedepginaCar">
    <w:name w:val="Pie de página Car"/>
    <w:basedOn w:val="Fuentedeprrafopredeter"/>
    <w:link w:val="Piedepgina"/>
    <w:uiPriority w:val="99"/>
    <w:rsid w:val="00711297"/>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nhideWhenUsed/>
    <w:rsid w:val="00711297"/>
    <w:pPr>
      <w:spacing w:after="120"/>
    </w:pPr>
  </w:style>
  <w:style w:type="character" w:customStyle="1" w:styleId="TextoindependienteCar">
    <w:name w:val="Texto independiente Car"/>
    <w:basedOn w:val="Fuentedeprrafopredeter"/>
    <w:link w:val="Textoindependiente"/>
    <w:rsid w:val="00711297"/>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nhideWhenUsed/>
    <w:rsid w:val="00877F0D"/>
    <w:pPr>
      <w:spacing w:after="120" w:line="480" w:lineRule="auto"/>
    </w:pPr>
    <w:rPr>
      <w:sz w:val="20"/>
      <w:szCs w:val="20"/>
    </w:rPr>
  </w:style>
  <w:style w:type="character" w:customStyle="1" w:styleId="Textoindependiente2Car">
    <w:name w:val="Texto independiente 2 Car"/>
    <w:basedOn w:val="Fuentedeprrafopredeter"/>
    <w:link w:val="Textoindependiente2"/>
    <w:rsid w:val="00877F0D"/>
    <w:rPr>
      <w:rFonts w:ascii="Times New Roman" w:eastAsia="Times New Roman" w:hAnsi="Times New Roman" w:cs="Times New Roman"/>
      <w:sz w:val="20"/>
      <w:szCs w:val="20"/>
      <w:lang w:eastAsia="es-ES"/>
    </w:rPr>
  </w:style>
  <w:style w:type="paragraph" w:styleId="Sangradetextonormal">
    <w:name w:val="Body Text Indent"/>
    <w:basedOn w:val="Normal"/>
    <w:link w:val="SangradetextonormalCar"/>
    <w:uiPriority w:val="99"/>
    <w:unhideWhenUsed/>
    <w:rsid w:val="00986843"/>
    <w:pPr>
      <w:spacing w:after="120"/>
      <w:ind w:left="283"/>
      <w:jc w:val="both"/>
    </w:pPr>
    <w:rPr>
      <w:rFonts w:ascii="Tahoma" w:eastAsia="Calibri" w:hAnsi="Tahoma"/>
      <w:sz w:val="22"/>
      <w:szCs w:val="22"/>
      <w:lang w:eastAsia="en-US"/>
    </w:rPr>
  </w:style>
  <w:style w:type="character" w:customStyle="1" w:styleId="SangradetextonormalCar">
    <w:name w:val="Sangría de texto normal Car"/>
    <w:basedOn w:val="Fuentedeprrafopredeter"/>
    <w:link w:val="Sangradetextonormal"/>
    <w:uiPriority w:val="99"/>
    <w:rsid w:val="00986843"/>
    <w:rPr>
      <w:rFonts w:ascii="Tahoma" w:eastAsia="Calibri" w:hAnsi="Tahoma" w:cs="Times New Roman"/>
    </w:rPr>
  </w:style>
  <w:style w:type="paragraph" w:styleId="Encabezado">
    <w:name w:val="header"/>
    <w:aliases w:val="maria,h"/>
    <w:basedOn w:val="Normal"/>
    <w:link w:val="EncabezadoCar"/>
    <w:uiPriority w:val="99"/>
    <w:semiHidden/>
    <w:unhideWhenUsed/>
    <w:rsid w:val="00491A1B"/>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491A1B"/>
    <w:rPr>
      <w:rFonts w:ascii="Times New Roman" w:eastAsia="Times New Roman" w:hAnsi="Times New Roman" w:cs="Times New Roman"/>
      <w:sz w:val="24"/>
      <w:szCs w:val="24"/>
      <w:lang w:eastAsia="es-ES"/>
    </w:rPr>
  </w:style>
  <w:style w:type="paragraph" w:styleId="Lista">
    <w:name w:val="List"/>
    <w:basedOn w:val="Normal"/>
    <w:uiPriority w:val="99"/>
    <w:unhideWhenUsed/>
    <w:rsid w:val="00CC1EA4"/>
    <w:pPr>
      <w:ind w:left="283" w:hanging="283"/>
      <w:contextualSpacing/>
    </w:pPr>
    <w:rPr>
      <w:sz w:val="20"/>
      <w:szCs w:val="20"/>
    </w:rPr>
  </w:style>
</w:styles>
</file>

<file path=word/webSettings.xml><?xml version="1.0" encoding="utf-8"?>
<w:webSettings xmlns:r="http://schemas.openxmlformats.org/officeDocument/2006/relationships" xmlns:w="http://schemas.openxmlformats.org/wordprocessingml/2006/main">
  <w:divs>
    <w:div w:id="171889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11</Pages>
  <Words>4661</Words>
  <Characters>25639</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151</cp:revision>
  <cp:lastPrinted>2011-07-25T22:26:00Z</cp:lastPrinted>
  <dcterms:created xsi:type="dcterms:W3CDTF">2009-12-29T20:43:00Z</dcterms:created>
  <dcterms:modified xsi:type="dcterms:W3CDTF">2011-08-15T15:53:00Z</dcterms:modified>
</cp:coreProperties>
</file>